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3A27F3" w14:textId="77777777" w:rsidR="00D12B8D" w:rsidRDefault="00D12B8D">
      <w:pPr>
        <w:jc w:val="center"/>
        <w:rPr>
          <w:b/>
          <w:color w:val="1F4E79"/>
          <w:sz w:val="48"/>
          <w:lang w:val="fr-FR"/>
        </w:rPr>
      </w:pPr>
    </w:p>
    <w:p w14:paraId="649F8DC9" w14:textId="77777777" w:rsidR="00D12B8D" w:rsidRDefault="00D12B8D">
      <w:pPr>
        <w:jc w:val="center"/>
        <w:rPr>
          <w:b/>
          <w:color w:val="1F4E79"/>
          <w:sz w:val="48"/>
          <w:lang w:val="fr-FR"/>
        </w:rPr>
      </w:pPr>
    </w:p>
    <w:p w14:paraId="5CB3172B" w14:textId="77777777" w:rsidR="00D12B8D" w:rsidRDefault="00D12B8D">
      <w:pPr>
        <w:jc w:val="center"/>
        <w:rPr>
          <w:b/>
          <w:color w:val="1F4E79"/>
          <w:sz w:val="48"/>
          <w:lang w:val="fr-FR"/>
        </w:rPr>
      </w:pPr>
    </w:p>
    <w:p w14:paraId="180F08EC" w14:textId="580F4411" w:rsidR="001314FE" w:rsidRDefault="00EE454F">
      <w:pPr>
        <w:jc w:val="center"/>
        <w:rPr>
          <w:b/>
          <w:color w:val="1F4E79"/>
          <w:sz w:val="48"/>
          <w:lang w:val="fr-FR"/>
        </w:rPr>
      </w:pPr>
      <w:r w:rsidRPr="00D12B8D">
        <w:rPr>
          <w:b/>
          <w:color w:val="1F4E79"/>
          <w:sz w:val="48"/>
          <w:lang w:val="fr-FR"/>
        </w:rPr>
        <w:t>COMMUNE D’ERQUY</w:t>
      </w:r>
    </w:p>
    <w:p w14:paraId="7731362B" w14:textId="77777777" w:rsidR="00D12B8D" w:rsidRDefault="00D12B8D">
      <w:pPr>
        <w:jc w:val="center"/>
        <w:rPr>
          <w:b/>
          <w:color w:val="1F4E79"/>
          <w:sz w:val="48"/>
          <w:lang w:val="fr-FR"/>
        </w:rPr>
      </w:pPr>
    </w:p>
    <w:p w14:paraId="04A43018" w14:textId="0A00208D" w:rsidR="00D12B8D" w:rsidRPr="00D12B8D" w:rsidRDefault="00D12B8D">
      <w:pPr>
        <w:jc w:val="center"/>
        <w:rPr>
          <w:lang w:val="fr-FR"/>
        </w:rPr>
      </w:pPr>
      <w:r>
        <w:rPr>
          <w:noProof/>
          <w:lang w:val="fr-FR"/>
        </w:rPr>
        <w:drawing>
          <wp:inline distT="0" distB="0" distL="0" distR="0" wp14:anchorId="41ED8110" wp14:editId="0C5C9461">
            <wp:extent cx="2387600" cy="876300"/>
            <wp:effectExtent l="0" t="0" r="0" b="0"/>
            <wp:docPr id="12504908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490805" name="Image 1250490805"/>
                    <pic:cNvPicPr/>
                  </pic:nvPicPr>
                  <pic:blipFill>
                    <a:blip r:embed="rId8"/>
                    <a:stretch>
                      <a:fillRect/>
                    </a:stretch>
                  </pic:blipFill>
                  <pic:spPr>
                    <a:xfrm>
                      <a:off x="0" y="0"/>
                      <a:ext cx="2387600" cy="876300"/>
                    </a:xfrm>
                    <a:prstGeom prst="rect">
                      <a:avLst/>
                    </a:prstGeom>
                  </pic:spPr>
                </pic:pic>
              </a:graphicData>
            </a:graphic>
          </wp:inline>
        </w:drawing>
      </w:r>
    </w:p>
    <w:p w14:paraId="13D5F551" w14:textId="77777777" w:rsidR="001314FE" w:rsidRPr="00D12B8D" w:rsidRDefault="00EE454F">
      <w:pPr>
        <w:jc w:val="center"/>
        <w:rPr>
          <w:lang w:val="fr-FR"/>
        </w:rPr>
      </w:pPr>
      <w:r w:rsidRPr="00D12B8D">
        <w:rPr>
          <w:b/>
          <w:sz w:val="38"/>
          <w:lang w:val="fr-FR"/>
        </w:rPr>
        <w:t>APPEL À MANIFESTATION D’INTÉRÊT</w:t>
      </w:r>
    </w:p>
    <w:p w14:paraId="1230E504" w14:textId="77777777" w:rsidR="001314FE" w:rsidRPr="00D12B8D" w:rsidRDefault="00EE454F">
      <w:pPr>
        <w:jc w:val="center"/>
        <w:rPr>
          <w:lang w:val="fr-FR"/>
        </w:rPr>
      </w:pPr>
      <w:r w:rsidRPr="00D12B8D">
        <w:rPr>
          <w:b/>
          <w:color w:val="2F5597"/>
          <w:sz w:val="28"/>
          <w:lang w:val="fr-FR"/>
        </w:rPr>
        <w:t>POUR LE DÉPLOIEMENT ET L’EXPLOITATION D’INFRASTRUCTURES DE RECHARGE POUR VÉHICULES ÉLECTRIQUES ET HYBRIDES RECHARGEABLES</w:t>
      </w:r>
    </w:p>
    <w:p w14:paraId="78CE93F4" w14:textId="77777777" w:rsidR="001314FE" w:rsidRPr="00D12B8D" w:rsidRDefault="001314FE">
      <w:pPr>
        <w:rPr>
          <w:lang w:val="fr-FR"/>
        </w:rPr>
      </w:pPr>
    </w:p>
    <w:p w14:paraId="280EFF1D" w14:textId="77777777" w:rsidR="001314FE" w:rsidRPr="00D12B8D" w:rsidRDefault="00EE454F">
      <w:pPr>
        <w:jc w:val="center"/>
        <w:rPr>
          <w:lang w:val="fr-FR"/>
        </w:rPr>
      </w:pPr>
      <w:r w:rsidRPr="00D12B8D">
        <w:rPr>
          <w:b/>
          <w:sz w:val="34"/>
          <w:lang w:val="fr-FR"/>
        </w:rPr>
        <w:t>RÈGLEMENT DE CONSULTATION</w:t>
      </w:r>
    </w:p>
    <w:p w14:paraId="625DBE98" w14:textId="77777777" w:rsidR="001314FE" w:rsidRPr="00D12B8D" w:rsidRDefault="001314FE">
      <w:pPr>
        <w:rPr>
          <w:lang w:val="fr-FR"/>
        </w:rPr>
      </w:pPr>
    </w:p>
    <w:p w14:paraId="770B367C" w14:textId="77777777" w:rsidR="001314FE" w:rsidRPr="00D12B8D" w:rsidRDefault="00EE454F">
      <w:pPr>
        <w:rPr>
          <w:lang w:val="fr-FR"/>
        </w:rPr>
      </w:pPr>
      <w:r w:rsidRPr="00D12B8D">
        <w:rPr>
          <w:lang w:val="fr-FR"/>
        </w:rPr>
        <w:br w:type="page"/>
      </w:r>
    </w:p>
    <w:p w14:paraId="043628D7" w14:textId="77777777" w:rsidR="001314FE" w:rsidRPr="00D12B8D" w:rsidRDefault="00EE454F">
      <w:pPr>
        <w:pStyle w:val="Titre1"/>
        <w:rPr>
          <w:lang w:val="fr-FR"/>
        </w:rPr>
      </w:pPr>
      <w:r w:rsidRPr="00D12B8D">
        <w:rPr>
          <w:lang w:val="fr-FR"/>
        </w:rPr>
        <w:lastRenderedPageBreak/>
        <w:t>1. OBJET DE L’APPEL À MANIFESTATION D’INTÉRÊT</w:t>
      </w:r>
    </w:p>
    <w:p w14:paraId="2CC961E6" w14:textId="77777777" w:rsidR="001314FE" w:rsidRPr="00D12B8D" w:rsidRDefault="00EE454F">
      <w:pPr>
        <w:spacing w:after="100" w:line="252" w:lineRule="auto"/>
        <w:rPr>
          <w:lang w:val="fr-FR"/>
        </w:rPr>
      </w:pPr>
      <w:r w:rsidRPr="00D12B8D">
        <w:rPr>
          <w:lang w:val="fr-FR"/>
        </w:rPr>
        <w:t>La Commune d’Erquy souhaite accompagner le développement de la mobilité électrique sur son territoire et renforcer l’offre de recharge accessible aux habitants, visiteurs et usagers.</w:t>
      </w:r>
    </w:p>
    <w:p w14:paraId="44BD8B52" w14:textId="77777777" w:rsidR="001314FE" w:rsidRPr="00D12B8D" w:rsidRDefault="00EE454F">
      <w:pPr>
        <w:spacing w:after="100" w:line="252" w:lineRule="auto"/>
        <w:rPr>
          <w:lang w:val="fr-FR"/>
        </w:rPr>
      </w:pPr>
      <w:r w:rsidRPr="00D12B8D">
        <w:rPr>
          <w:lang w:val="fr-FR"/>
        </w:rPr>
        <w:t>Le présent Appel à Manifestation d’Intérêt, ci-après dénommé « AMI », a pour objet de permettre à des opérateurs économiques susceptibles d’être intéressés par l’installation, le financement, l’exploitation, la maintenance et la gestion d’infrastructures de recharge pour véhicules électriques et hybrides rechargeables ouvertes au public, de présenter une proposition pour une implantation sur le domaine public communal.</w:t>
      </w:r>
    </w:p>
    <w:p w14:paraId="3696AFAB" w14:textId="77777777" w:rsidR="001314FE" w:rsidRPr="00D12B8D" w:rsidRDefault="00EE454F">
      <w:pPr>
        <w:spacing w:after="100" w:line="252" w:lineRule="auto"/>
        <w:rPr>
          <w:lang w:val="fr-FR"/>
        </w:rPr>
      </w:pPr>
      <w:r w:rsidRPr="00D12B8D">
        <w:rPr>
          <w:lang w:val="fr-FR"/>
        </w:rPr>
        <w:t>L’opérateur retenu assurera à ses frais et sous sa responsabilité, selon les dispositions précisées dans les documents de consultation :</w:t>
      </w:r>
    </w:p>
    <w:p w14:paraId="4DDDF5A8" w14:textId="77777777" w:rsidR="001314FE" w:rsidRDefault="00EE454F">
      <w:pPr>
        <w:pStyle w:val="Listepuces"/>
        <w:spacing w:after="40"/>
      </w:pPr>
      <w:r>
        <w:t>les études préalables ;</w:t>
      </w:r>
    </w:p>
    <w:p w14:paraId="57261342" w14:textId="77777777" w:rsidR="001314FE" w:rsidRPr="00D12B8D" w:rsidRDefault="00EE454F">
      <w:pPr>
        <w:pStyle w:val="Listepuces"/>
        <w:spacing w:after="40"/>
        <w:rPr>
          <w:lang w:val="fr-FR"/>
        </w:rPr>
      </w:pPr>
      <w:r w:rsidRPr="00D12B8D">
        <w:rPr>
          <w:lang w:val="fr-FR"/>
        </w:rPr>
        <w:t>les démarches administratives et techniques nécessaires ;</w:t>
      </w:r>
    </w:p>
    <w:p w14:paraId="6ABDB406" w14:textId="77777777" w:rsidR="001314FE" w:rsidRDefault="00EE454F">
      <w:pPr>
        <w:pStyle w:val="Listepuces"/>
        <w:spacing w:after="40"/>
      </w:pPr>
      <w:r>
        <w:t>la fourniture des équipements ;</w:t>
      </w:r>
    </w:p>
    <w:p w14:paraId="0AB03D59" w14:textId="77777777" w:rsidR="001314FE" w:rsidRPr="00D12B8D" w:rsidRDefault="00EE454F">
      <w:pPr>
        <w:pStyle w:val="Listepuces"/>
        <w:spacing w:after="40"/>
        <w:rPr>
          <w:lang w:val="fr-FR"/>
        </w:rPr>
      </w:pPr>
      <w:r w:rsidRPr="00D12B8D">
        <w:rPr>
          <w:lang w:val="fr-FR"/>
        </w:rPr>
        <w:t>les travaux d’installation et de raccordement ;</w:t>
      </w:r>
    </w:p>
    <w:p w14:paraId="262E39C7" w14:textId="77777777" w:rsidR="001314FE" w:rsidRPr="00D12B8D" w:rsidRDefault="00EE454F">
      <w:pPr>
        <w:pStyle w:val="Listepuces"/>
        <w:spacing w:after="40"/>
        <w:rPr>
          <w:lang w:val="fr-FR"/>
        </w:rPr>
      </w:pPr>
      <w:r w:rsidRPr="00D12B8D">
        <w:rPr>
          <w:lang w:val="fr-FR"/>
        </w:rPr>
        <w:t>la mise en service des bornes ;</w:t>
      </w:r>
    </w:p>
    <w:p w14:paraId="566B54D8" w14:textId="77777777" w:rsidR="001314FE" w:rsidRPr="00D12B8D" w:rsidRDefault="00EE454F">
      <w:pPr>
        <w:pStyle w:val="Listepuces"/>
        <w:spacing w:after="40"/>
        <w:rPr>
          <w:lang w:val="fr-FR"/>
        </w:rPr>
      </w:pPr>
      <w:r w:rsidRPr="00D12B8D">
        <w:rPr>
          <w:lang w:val="fr-FR"/>
        </w:rPr>
        <w:t>l’exploitation et la supervision du service ;</w:t>
      </w:r>
    </w:p>
    <w:p w14:paraId="6EA2BC3B" w14:textId="77777777" w:rsidR="001314FE" w:rsidRPr="00D12B8D" w:rsidRDefault="00EE454F">
      <w:pPr>
        <w:pStyle w:val="Listepuces"/>
        <w:spacing w:after="40"/>
        <w:rPr>
          <w:lang w:val="fr-FR"/>
        </w:rPr>
      </w:pPr>
      <w:r w:rsidRPr="00D12B8D">
        <w:rPr>
          <w:lang w:val="fr-FR"/>
        </w:rPr>
        <w:t>la maintenance préventive et curative ;</w:t>
      </w:r>
    </w:p>
    <w:p w14:paraId="741C147F" w14:textId="77777777" w:rsidR="001314FE" w:rsidRPr="00D12B8D" w:rsidRDefault="00EE454F">
      <w:pPr>
        <w:pStyle w:val="Listepuces"/>
        <w:spacing w:after="40"/>
        <w:rPr>
          <w:lang w:val="fr-FR"/>
        </w:rPr>
      </w:pPr>
      <w:r w:rsidRPr="00D12B8D">
        <w:rPr>
          <w:lang w:val="fr-FR"/>
        </w:rPr>
        <w:t>la gestion de la relation avec les usagers ;</w:t>
      </w:r>
    </w:p>
    <w:p w14:paraId="744B5015" w14:textId="77777777" w:rsidR="001314FE" w:rsidRPr="00D12B8D" w:rsidRDefault="00EE454F">
      <w:pPr>
        <w:pStyle w:val="Listepuces"/>
        <w:spacing w:after="40"/>
        <w:rPr>
          <w:lang w:val="fr-FR"/>
        </w:rPr>
      </w:pPr>
      <w:r w:rsidRPr="00D12B8D">
        <w:rPr>
          <w:lang w:val="fr-FR"/>
        </w:rPr>
        <w:t>la perception des recettes liées à la recharge ;</w:t>
      </w:r>
    </w:p>
    <w:p w14:paraId="084C30E4" w14:textId="77777777" w:rsidR="001314FE" w:rsidRPr="00D12B8D" w:rsidRDefault="00EE454F">
      <w:pPr>
        <w:pStyle w:val="Listepuces"/>
        <w:spacing w:after="40"/>
        <w:rPr>
          <w:lang w:val="fr-FR"/>
        </w:rPr>
      </w:pPr>
      <w:r w:rsidRPr="00D12B8D">
        <w:rPr>
          <w:lang w:val="fr-FR"/>
        </w:rPr>
        <w:t>le cas échéant, la remise en état des emplacements à l’issue de la convention.</w:t>
      </w:r>
    </w:p>
    <w:p w14:paraId="6DFC46A9" w14:textId="77777777" w:rsidR="001314FE" w:rsidRPr="00D12B8D" w:rsidRDefault="00EE454F">
      <w:pPr>
        <w:spacing w:after="100" w:line="252" w:lineRule="auto"/>
        <w:rPr>
          <w:lang w:val="fr-FR"/>
        </w:rPr>
      </w:pPr>
      <w:r w:rsidRPr="00D12B8D">
        <w:rPr>
          <w:lang w:val="fr-FR"/>
        </w:rPr>
        <w:t>Le présent AMI porte sur l’installation d’infrastructures de recharge sur le territoire de la Commune d’Erquy. Les implantations envisagées sont décrites dans le descriptif technique et les fiches de sites annexées au dossier de consultation.</w:t>
      </w:r>
    </w:p>
    <w:p w14:paraId="022FA534" w14:textId="77777777" w:rsidR="001314FE" w:rsidRPr="00D12B8D" w:rsidRDefault="00EE454F">
      <w:pPr>
        <w:spacing w:after="100" w:line="252" w:lineRule="auto"/>
        <w:rPr>
          <w:lang w:val="fr-FR"/>
        </w:rPr>
      </w:pPr>
      <w:r w:rsidRPr="00D12B8D">
        <w:rPr>
          <w:lang w:val="fr-FR"/>
        </w:rPr>
        <w:t>La Commune pourra retenir tout ou partie des implantations proposées, sous réserve de la faisabilité technique et de l’intérêt des propositions reçues.</w:t>
      </w:r>
    </w:p>
    <w:p w14:paraId="78E16D44" w14:textId="77777777" w:rsidR="001314FE" w:rsidRPr="00D12B8D" w:rsidRDefault="00EE454F">
      <w:pPr>
        <w:pStyle w:val="Titre1"/>
        <w:rPr>
          <w:lang w:val="fr-FR"/>
        </w:rPr>
      </w:pPr>
      <w:r w:rsidRPr="00D12B8D">
        <w:rPr>
          <w:lang w:val="fr-FR"/>
        </w:rPr>
        <w:t>2. ORGANISATION DE L’APPEL À MANIFESTATION D’INTÉRÊT</w:t>
      </w:r>
    </w:p>
    <w:p w14:paraId="7B29BE71" w14:textId="77777777" w:rsidR="001314FE" w:rsidRPr="00D12B8D" w:rsidRDefault="00EE454F">
      <w:pPr>
        <w:pStyle w:val="Titre2"/>
        <w:rPr>
          <w:lang w:val="fr-FR"/>
        </w:rPr>
      </w:pPr>
      <w:r w:rsidRPr="00D12B8D">
        <w:rPr>
          <w:lang w:val="fr-FR"/>
        </w:rPr>
        <w:t>2.1. Procédure</w:t>
      </w:r>
    </w:p>
    <w:p w14:paraId="0B7BE5D2" w14:textId="77777777" w:rsidR="001314FE" w:rsidRPr="00D12B8D" w:rsidRDefault="00EE454F">
      <w:pPr>
        <w:spacing w:after="100" w:line="252" w:lineRule="auto"/>
        <w:rPr>
          <w:lang w:val="fr-FR"/>
        </w:rPr>
      </w:pPr>
      <w:r w:rsidRPr="00D12B8D">
        <w:rPr>
          <w:lang w:val="fr-FR"/>
        </w:rPr>
        <w:t>En application des articles L.2122-1 et suivants du Code général de la propriété des personnes publiques, la Commune d’Erquy organise une procédure de sélection préalable en vue de la délivrance d’un titre autorisant l’occupation du domaine public pour l’exercice d’une activité économique.</w:t>
      </w:r>
    </w:p>
    <w:p w14:paraId="2B2C6B01" w14:textId="77777777" w:rsidR="001314FE" w:rsidRPr="00D12B8D" w:rsidRDefault="00EE454F">
      <w:pPr>
        <w:spacing w:after="100" w:line="252" w:lineRule="auto"/>
        <w:rPr>
          <w:lang w:val="fr-FR"/>
        </w:rPr>
      </w:pPr>
      <w:r w:rsidRPr="00D12B8D">
        <w:rPr>
          <w:lang w:val="fr-FR"/>
        </w:rPr>
        <w:t>La présente consultation ne constitue pas un marché public de travaux, de fournitures ou de services. L’opérateur retenu bénéficiera d’une autorisation d’occupation temporaire du domaine public, matérialisée par une convention conclue avec la Commune d’Erquy.</w:t>
      </w:r>
    </w:p>
    <w:p w14:paraId="6211C44D" w14:textId="77777777" w:rsidR="001314FE" w:rsidRPr="00D12B8D" w:rsidRDefault="00EE454F">
      <w:pPr>
        <w:spacing w:after="100" w:line="252" w:lineRule="auto"/>
        <w:rPr>
          <w:lang w:val="fr-FR"/>
        </w:rPr>
      </w:pPr>
      <w:r w:rsidRPr="00D12B8D">
        <w:rPr>
          <w:lang w:val="fr-FR"/>
        </w:rPr>
        <w:t>Cette convention déterminera notamment les emplacements mis à disposition, les conditions d’occupation du domaine public, la durée de l’autorisation, le montant et les modalités de calcul de la redevance, les obligations respectives des parties, les modalités d’installation et d’exploitation, les conditions de maintenance ainsi que les conditions de fin d’occupation.</w:t>
      </w:r>
    </w:p>
    <w:p w14:paraId="5EA4ADFD" w14:textId="77777777" w:rsidR="001314FE" w:rsidRPr="00D12B8D" w:rsidRDefault="00EE454F">
      <w:pPr>
        <w:pStyle w:val="Titre2"/>
        <w:rPr>
          <w:lang w:val="fr-FR"/>
        </w:rPr>
      </w:pPr>
      <w:r w:rsidRPr="00D12B8D">
        <w:rPr>
          <w:lang w:val="fr-FR"/>
        </w:rPr>
        <w:t>2.2. Calendrier prévisionnel de la consultation</w:t>
      </w:r>
    </w:p>
    <w:p w14:paraId="76AB6EC1" w14:textId="1C48C59C" w:rsidR="001314FE" w:rsidRPr="00B93FB9" w:rsidRDefault="00EE454F">
      <w:pPr>
        <w:spacing w:after="80"/>
        <w:rPr>
          <w:lang w:val="fr-FR"/>
        </w:rPr>
      </w:pPr>
      <w:r w:rsidRPr="00D12B8D">
        <w:rPr>
          <w:b/>
          <w:lang w:val="fr-FR"/>
        </w:rPr>
        <w:t xml:space="preserve">Date limite de réception des questions : </w:t>
      </w:r>
      <w:r w:rsidR="00B948B8">
        <w:rPr>
          <w:b/>
          <w:color w:val="C0504D"/>
          <w:lang w:val="fr-FR"/>
        </w:rPr>
        <w:t>22 octobre</w:t>
      </w:r>
      <w:r w:rsidR="00FA0D94" w:rsidRPr="00B93FB9">
        <w:rPr>
          <w:b/>
          <w:color w:val="C0504D"/>
          <w:lang w:val="fr-FR"/>
        </w:rPr>
        <w:t xml:space="preserve"> 2026 à 12h</w:t>
      </w:r>
    </w:p>
    <w:p w14:paraId="11DA6A07" w14:textId="58C7E0EA" w:rsidR="00072B4D" w:rsidRPr="00072B4D" w:rsidRDefault="00EE454F">
      <w:pPr>
        <w:spacing w:after="80"/>
        <w:rPr>
          <w:b/>
          <w:color w:val="C0504D"/>
          <w:lang w:val="fr-FR"/>
        </w:rPr>
      </w:pPr>
      <w:r w:rsidRPr="00B93FB9">
        <w:rPr>
          <w:b/>
          <w:lang w:val="fr-FR"/>
        </w:rPr>
        <w:t xml:space="preserve">Réponse aux questions : </w:t>
      </w:r>
      <w:r w:rsidR="00072B4D">
        <w:rPr>
          <w:b/>
          <w:color w:val="C0504D"/>
          <w:lang w:val="fr-FR"/>
        </w:rPr>
        <w:t>27 octobre 2026</w:t>
      </w:r>
    </w:p>
    <w:p w14:paraId="7F1FE6B5" w14:textId="661F50B6" w:rsidR="001314FE" w:rsidRPr="00B93FB9" w:rsidRDefault="00EE454F">
      <w:pPr>
        <w:spacing w:after="80"/>
        <w:rPr>
          <w:lang w:val="fr-FR"/>
        </w:rPr>
      </w:pPr>
      <w:r w:rsidRPr="00B93FB9">
        <w:rPr>
          <w:b/>
          <w:lang w:val="fr-FR"/>
        </w:rPr>
        <w:t xml:space="preserve">Date limite de remise des </w:t>
      </w:r>
      <w:r w:rsidR="00722044" w:rsidRPr="00B93FB9">
        <w:rPr>
          <w:b/>
          <w:lang w:val="fr-FR"/>
        </w:rPr>
        <w:t>propositions:</w:t>
      </w:r>
      <w:r w:rsidRPr="00B93FB9">
        <w:rPr>
          <w:b/>
          <w:lang w:val="fr-FR"/>
        </w:rPr>
        <w:t xml:space="preserve"> </w:t>
      </w:r>
      <w:r w:rsidR="00072B4D">
        <w:rPr>
          <w:b/>
          <w:color w:val="C0504D"/>
          <w:lang w:val="fr-FR"/>
        </w:rPr>
        <w:t>4</w:t>
      </w:r>
      <w:r w:rsidR="00FA0D94" w:rsidRPr="00B93FB9">
        <w:rPr>
          <w:b/>
          <w:color w:val="C0504D"/>
          <w:lang w:val="fr-FR"/>
        </w:rPr>
        <w:t xml:space="preserve"> novembre </w:t>
      </w:r>
      <w:r w:rsidR="00722044" w:rsidRPr="00B93FB9">
        <w:rPr>
          <w:b/>
          <w:color w:val="C0504D"/>
          <w:lang w:val="fr-FR"/>
        </w:rPr>
        <w:t>2026 à 12h</w:t>
      </w:r>
    </w:p>
    <w:p w14:paraId="629D542B" w14:textId="3C65ECB8" w:rsidR="001314FE" w:rsidRPr="00B93FB9" w:rsidRDefault="00EE454F">
      <w:pPr>
        <w:spacing w:after="80"/>
        <w:rPr>
          <w:lang w:val="fr-FR"/>
        </w:rPr>
      </w:pPr>
      <w:r w:rsidRPr="00B93FB9">
        <w:rPr>
          <w:b/>
          <w:lang w:val="fr-FR"/>
        </w:rPr>
        <w:lastRenderedPageBreak/>
        <w:t>Analyse des propositions</w:t>
      </w:r>
      <w:r w:rsidR="00722044" w:rsidRPr="00B93FB9">
        <w:rPr>
          <w:b/>
          <w:lang w:val="fr-FR"/>
        </w:rPr>
        <w:t xml:space="preserve">, </w:t>
      </w:r>
      <w:r w:rsidRPr="00B93FB9">
        <w:rPr>
          <w:b/>
          <w:lang w:val="fr-FR"/>
        </w:rPr>
        <w:t xml:space="preserve">Audition ou échanges éventuels avec les candidats : </w:t>
      </w:r>
      <w:r w:rsidR="00722044" w:rsidRPr="00B93FB9">
        <w:rPr>
          <w:b/>
          <w:color w:val="C0504D"/>
          <w:lang w:val="fr-FR"/>
        </w:rPr>
        <w:t>S4</w:t>
      </w:r>
      <w:r w:rsidR="00B948B8">
        <w:rPr>
          <w:b/>
          <w:color w:val="C0504D"/>
          <w:lang w:val="fr-FR"/>
        </w:rPr>
        <w:t>6</w:t>
      </w:r>
    </w:p>
    <w:p w14:paraId="1FA998F4" w14:textId="7D1025C7" w:rsidR="001314FE" w:rsidRPr="00D12B8D" w:rsidRDefault="00EE454F">
      <w:pPr>
        <w:spacing w:after="80"/>
        <w:rPr>
          <w:lang w:val="fr-FR"/>
        </w:rPr>
      </w:pPr>
      <w:r w:rsidRPr="00B93FB9">
        <w:rPr>
          <w:b/>
          <w:lang w:val="fr-FR"/>
        </w:rPr>
        <w:t xml:space="preserve">Mise en service souhaitée : </w:t>
      </w:r>
      <w:r w:rsidR="00722044" w:rsidRPr="00B93FB9">
        <w:rPr>
          <w:b/>
          <w:color w:val="C0504D"/>
          <w:lang w:val="fr-FR"/>
        </w:rPr>
        <w:t>Mai 202</w:t>
      </w:r>
      <w:r w:rsidR="003E754E">
        <w:rPr>
          <w:b/>
          <w:color w:val="C0504D"/>
          <w:lang w:val="fr-FR"/>
        </w:rPr>
        <w:t>7</w:t>
      </w:r>
    </w:p>
    <w:p w14:paraId="485D8D33" w14:textId="77777777" w:rsidR="001314FE" w:rsidRPr="00D12B8D" w:rsidRDefault="00EE454F">
      <w:pPr>
        <w:spacing w:after="100" w:line="252" w:lineRule="auto"/>
        <w:rPr>
          <w:lang w:val="fr-FR"/>
        </w:rPr>
      </w:pPr>
      <w:r w:rsidRPr="00D12B8D">
        <w:rPr>
          <w:lang w:val="fr-FR"/>
        </w:rPr>
        <w:t>Ces dates sont indicatives, à l’exception de la date et de l’heure limites de remise des propositions. La Commune d’Erquy se réserve la possibilité de modifier le calendrier de la procédure.</w:t>
      </w:r>
    </w:p>
    <w:p w14:paraId="47FEBF15" w14:textId="77777777" w:rsidR="001314FE" w:rsidRPr="00D12B8D" w:rsidRDefault="00EE454F">
      <w:pPr>
        <w:pStyle w:val="Titre2"/>
        <w:rPr>
          <w:lang w:val="fr-FR"/>
        </w:rPr>
      </w:pPr>
      <w:r w:rsidRPr="00D12B8D">
        <w:rPr>
          <w:lang w:val="fr-FR"/>
        </w:rPr>
        <w:t>2.3. Accès aux documents de consultation</w:t>
      </w:r>
    </w:p>
    <w:p w14:paraId="12F57581" w14:textId="77777777" w:rsidR="001314FE" w:rsidRPr="00D12B8D" w:rsidRDefault="00EE454F">
      <w:pPr>
        <w:spacing w:after="100" w:line="252" w:lineRule="auto"/>
        <w:rPr>
          <w:lang w:val="fr-FR"/>
        </w:rPr>
      </w:pPr>
      <w:r w:rsidRPr="00D12B8D">
        <w:rPr>
          <w:lang w:val="fr-FR"/>
        </w:rPr>
        <w:t>L’ensemble des documents nécessaires au déroulement de la présente consultation est accessible sur la plateforme de dématérialisation Mégalis Bretagne.</w:t>
      </w:r>
    </w:p>
    <w:p w14:paraId="6DA9866A" w14:textId="0B2081AC" w:rsidR="001314FE" w:rsidRPr="00D12B8D" w:rsidRDefault="00EE454F">
      <w:pPr>
        <w:spacing w:after="80"/>
        <w:rPr>
          <w:lang w:val="fr-FR"/>
        </w:rPr>
      </w:pPr>
      <w:r w:rsidRPr="00D12B8D">
        <w:rPr>
          <w:b/>
          <w:lang w:val="fr-FR"/>
        </w:rPr>
        <w:t xml:space="preserve">Lien de la </w:t>
      </w:r>
      <w:r w:rsidR="00722044" w:rsidRPr="00D12B8D">
        <w:rPr>
          <w:b/>
          <w:lang w:val="fr-FR"/>
        </w:rPr>
        <w:t>consultation:</w:t>
      </w:r>
      <w:r w:rsidRPr="00D12B8D">
        <w:rPr>
          <w:b/>
          <w:lang w:val="fr-FR"/>
        </w:rPr>
        <w:t xml:space="preserve"> </w:t>
      </w:r>
      <w:r w:rsidR="00722044" w:rsidRPr="00722044">
        <w:rPr>
          <w:b/>
          <w:lang w:val="fr-FR"/>
        </w:rPr>
        <w:t>https://marches.megalisbretagne.org</w:t>
      </w:r>
    </w:p>
    <w:p w14:paraId="1B968553" w14:textId="77777777" w:rsidR="001314FE" w:rsidRPr="00D12B8D" w:rsidRDefault="00EE454F">
      <w:pPr>
        <w:spacing w:after="100" w:line="252" w:lineRule="auto"/>
        <w:rPr>
          <w:lang w:val="fr-FR"/>
        </w:rPr>
      </w:pPr>
      <w:r w:rsidRPr="00D12B8D">
        <w:rPr>
          <w:lang w:val="fr-FR"/>
        </w:rPr>
        <w:t>Les candidats sont invités à s’identifier lors du téléchargement du dossier en indiquant le nom de l’organisme, le nom de la personne référente et une adresse électronique valide afin de recevoir les informations complémentaires, modifications ou reports de délais éventuels.</w:t>
      </w:r>
    </w:p>
    <w:p w14:paraId="78857B85" w14:textId="77777777" w:rsidR="001314FE" w:rsidRPr="00D12B8D" w:rsidRDefault="00EE454F">
      <w:pPr>
        <w:spacing w:after="100" w:line="252" w:lineRule="auto"/>
        <w:rPr>
          <w:lang w:val="fr-FR"/>
        </w:rPr>
      </w:pPr>
      <w:r w:rsidRPr="00D12B8D">
        <w:rPr>
          <w:lang w:val="fr-FR"/>
        </w:rPr>
        <w:t>La Commune se réserve la possibilité d’apporter des compléments ou modifications aux documents de la consultation. Les candidats devront établir leur proposition en tenant compte de ces modifications.</w:t>
      </w:r>
    </w:p>
    <w:p w14:paraId="33E08A43" w14:textId="77777777" w:rsidR="001314FE" w:rsidRPr="00D12B8D" w:rsidRDefault="00EE454F">
      <w:pPr>
        <w:pStyle w:val="Titre2"/>
        <w:rPr>
          <w:lang w:val="fr-FR"/>
        </w:rPr>
      </w:pPr>
      <w:r w:rsidRPr="00D12B8D">
        <w:rPr>
          <w:lang w:val="fr-FR"/>
        </w:rPr>
        <w:t>2.4. Visite des sites</w:t>
      </w:r>
    </w:p>
    <w:p w14:paraId="48250A60" w14:textId="77777777" w:rsidR="001314FE" w:rsidRPr="00D12B8D" w:rsidRDefault="00EE454F">
      <w:pPr>
        <w:spacing w:after="100" w:line="252" w:lineRule="auto"/>
        <w:rPr>
          <w:lang w:val="fr-FR"/>
        </w:rPr>
      </w:pPr>
      <w:r w:rsidRPr="00D12B8D">
        <w:rPr>
          <w:lang w:val="fr-FR"/>
        </w:rPr>
        <w:t>Une visite des sites pourra être organisée. Elle est :</w:t>
      </w:r>
    </w:p>
    <w:p w14:paraId="500BDD24" w14:textId="41F6D054" w:rsidR="001314FE" w:rsidRPr="00D12B8D" w:rsidRDefault="00EE454F">
      <w:pPr>
        <w:spacing w:after="80"/>
        <w:rPr>
          <w:lang w:val="fr-FR"/>
        </w:rPr>
      </w:pPr>
      <w:r w:rsidRPr="00D12B8D">
        <w:rPr>
          <w:b/>
          <w:lang w:val="fr-FR"/>
        </w:rPr>
        <w:t xml:space="preserve">Caractère de la visite (facultative / obligatoire) : </w:t>
      </w:r>
      <w:r w:rsidR="00722044" w:rsidRPr="00D12B8D">
        <w:rPr>
          <w:b/>
          <w:color w:val="C0504D"/>
          <w:lang w:val="fr-FR"/>
        </w:rPr>
        <w:t>facultative</w:t>
      </w:r>
    </w:p>
    <w:p w14:paraId="722F86DE" w14:textId="67F0A520" w:rsidR="001314FE" w:rsidRPr="00D12B8D" w:rsidRDefault="00EE454F">
      <w:pPr>
        <w:spacing w:after="80"/>
        <w:rPr>
          <w:lang w:val="fr-FR"/>
        </w:rPr>
      </w:pPr>
      <w:r w:rsidRPr="00D12B8D">
        <w:rPr>
          <w:b/>
          <w:lang w:val="fr-FR"/>
        </w:rPr>
        <w:t xml:space="preserve">Date ou période de visite : </w:t>
      </w:r>
      <w:r w:rsidR="00B948B8">
        <w:rPr>
          <w:b/>
          <w:color w:val="C0504D"/>
          <w:lang w:val="fr-FR"/>
        </w:rPr>
        <w:t>S42 à S44</w:t>
      </w:r>
    </w:p>
    <w:p w14:paraId="4EB1B2B7" w14:textId="77777777" w:rsidR="00B948B8" w:rsidRPr="00B948B8" w:rsidRDefault="00EE454F" w:rsidP="00B948B8">
      <w:pPr>
        <w:spacing w:after="80"/>
        <w:rPr>
          <w:b/>
          <w:color w:val="C0504D"/>
          <w:lang w:val="fr-FR"/>
        </w:rPr>
      </w:pPr>
      <w:r w:rsidRPr="00D12B8D">
        <w:rPr>
          <w:b/>
          <w:lang w:val="fr-FR"/>
        </w:rPr>
        <w:t xml:space="preserve">Contact – nom / fonction : </w:t>
      </w:r>
      <w:r w:rsidR="00B948B8">
        <w:rPr>
          <w:b/>
          <w:color w:val="C0504D"/>
          <w:lang w:val="fr-FR"/>
        </w:rPr>
        <w:t>Agnès GUILLAUME</w:t>
      </w:r>
      <w:r w:rsidR="00B948B8">
        <w:rPr>
          <w:b/>
          <w:color w:val="C0504D"/>
          <w:lang w:val="fr-FR"/>
        </w:rPr>
        <w:tab/>
        <w:t xml:space="preserve"> - </w:t>
      </w:r>
      <w:r w:rsidR="00B948B8" w:rsidRPr="00B948B8">
        <w:rPr>
          <w:b/>
          <w:color w:val="C0504D"/>
          <w:lang w:val="fr-FR"/>
        </w:rPr>
        <w:t>Responsable Pôle Voirie / Plaisance / Fêtes &amp; Cérémonies</w:t>
      </w:r>
    </w:p>
    <w:p w14:paraId="0FCF185B" w14:textId="2F627208" w:rsidR="001314FE" w:rsidRPr="00D12B8D" w:rsidRDefault="00EE454F">
      <w:pPr>
        <w:spacing w:after="80"/>
        <w:rPr>
          <w:lang w:val="fr-FR"/>
        </w:rPr>
      </w:pPr>
      <w:r w:rsidRPr="00D12B8D">
        <w:rPr>
          <w:b/>
          <w:lang w:val="fr-FR"/>
        </w:rPr>
        <w:t xml:space="preserve">Courriel : </w:t>
      </w:r>
      <w:r w:rsidR="00B948B8">
        <w:rPr>
          <w:b/>
          <w:color w:val="C0504D"/>
          <w:lang w:val="fr-FR"/>
        </w:rPr>
        <w:t>vrd@erquy.bzh</w:t>
      </w:r>
    </w:p>
    <w:p w14:paraId="16E60B64" w14:textId="77777777" w:rsidR="001314FE" w:rsidRPr="00D12B8D" w:rsidRDefault="00EE454F">
      <w:pPr>
        <w:spacing w:after="100" w:line="252" w:lineRule="auto"/>
        <w:rPr>
          <w:lang w:val="fr-FR"/>
        </w:rPr>
      </w:pPr>
      <w:r w:rsidRPr="00D12B8D">
        <w:rPr>
          <w:lang w:val="fr-FR"/>
        </w:rPr>
        <w:t>Afin de garantir l’égalité de traitement entre les candidats, les informations susceptibles d’avoir une incidence sur l’élaboration des propositions pourront être communiquées à l’ensemble des candidats.</w:t>
      </w:r>
    </w:p>
    <w:p w14:paraId="124FB4E0" w14:textId="77777777" w:rsidR="001314FE" w:rsidRDefault="00EE454F">
      <w:pPr>
        <w:pStyle w:val="Titre2"/>
      </w:pPr>
      <w:r>
        <w:t>2.5. Composition du dossier de consultation</w:t>
      </w:r>
    </w:p>
    <w:p w14:paraId="16DABC09" w14:textId="77777777" w:rsidR="001314FE" w:rsidRPr="00D12B8D" w:rsidRDefault="00EE454F">
      <w:pPr>
        <w:pStyle w:val="Listepuces"/>
        <w:spacing w:after="40"/>
        <w:rPr>
          <w:lang w:val="fr-FR"/>
        </w:rPr>
      </w:pPr>
      <w:r w:rsidRPr="00D12B8D">
        <w:rPr>
          <w:lang w:val="fr-FR"/>
        </w:rPr>
        <w:t>le présent règlement de consultation ;</w:t>
      </w:r>
    </w:p>
    <w:p w14:paraId="606C63C2" w14:textId="77777777" w:rsidR="001314FE" w:rsidRDefault="00EE454F">
      <w:pPr>
        <w:pStyle w:val="Listepuces"/>
        <w:spacing w:after="40"/>
      </w:pPr>
      <w:r>
        <w:t>le descriptif technique ;</w:t>
      </w:r>
    </w:p>
    <w:p w14:paraId="393BF60C" w14:textId="77777777" w:rsidR="001314FE" w:rsidRPr="00D12B8D" w:rsidRDefault="00EE454F">
      <w:pPr>
        <w:pStyle w:val="Listepuces"/>
        <w:spacing w:after="40"/>
        <w:rPr>
          <w:lang w:val="fr-FR"/>
        </w:rPr>
      </w:pPr>
      <w:r w:rsidRPr="00D12B8D">
        <w:rPr>
          <w:lang w:val="fr-FR"/>
        </w:rPr>
        <w:t>les fiches de sites à compléter ;</w:t>
      </w:r>
    </w:p>
    <w:p w14:paraId="4C5B0BC4" w14:textId="77777777" w:rsidR="001314FE" w:rsidRPr="00D12B8D" w:rsidRDefault="00EE454F">
      <w:pPr>
        <w:pStyle w:val="Listepuces"/>
        <w:spacing w:after="40"/>
        <w:rPr>
          <w:lang w:val="fr-FR"/>
        </w:rPr>
      </w:pPr>
      <w:r w:rsidRPr="00D12B8D">
        <w:rPr>
          <w:lang w:val="fr-FR"/>
        </w:rPr>
        <w:t>le projet de convention d’occupation temporaire du domaine public ;</w:t>
      </w:r>
    </w:p>
    <w:p w14:paraId="1660CD14" w14:textId="77777777" w:rsidR="001314FE" w:rsidRPr="00D12B8D" w:rsidRDefault="00EE454F">
      <w:pPr>
        <w:pStyle w:val="Titre1"/>
        <w:rPr>
          <w:lang w:val="fr-FR"/>
        </w:rPr>
      </w:pPr>
      <w:r w:rsidRPr="00D12B8D">
        <w:rPr>
          <w:lang w:val="fr-FR"/>
        </w:rPr>
        <w:t>3. MODALITÉS DE SÉLECTION</w:t>
      </w:r>
    </w:p>
    <w:p w14:paraId="1AA8399B" w14:textId="77777777" w:rsidR="001314FE" w:rsidRPr="00D12B8D" w:rsidRDefault="00EE454F">
      <w:pPr>
        <w:pStyle w:val="Titre2"/>
        <w:rPr>
          <w:lang w:val="fr-FR"/>
        </w:rPr>
      </w:pPr>
      <w:r w:rsidRPr="00D12B8D">
        <w:rPr>
          <w:lang w:val="fr-FR"/>
        </w:rPr>
        <w:t>3.1. Critères d’analyse des propositions</w:t>
      </w:r>
    </w:p>
    <w:p w14:paraId="42B6B1C5" w14:textId="77777777" w:rsidR="001314FE" w:rsidRDefault="00EE454F">
      <w:pPr>
        <w:spacing w:after="100" w:line="252" w:lineRule="auto"/>
        <w:rPr>
          <w:lang w:val="fr-FR"/>
        </w:rPr>
      </w:pPr>
      <w:r w:rsidRPr="00D12B8D">
        <w:rPr>
          <w:lang w:val="fr-FR"/>
        </w:rPr>
        <w:t>Les propositions seront analysées sur une note totale de 100 points selon les critères suivants :</w:t>
      </w:r>
    </w:p>
    <w:tbl>
      <w:tblPr>
        <w:tblW w:w="5000" w:type="pct"/>
        <w:shd w:val="clear" w:color="auto" w:fill="FFFFFF"/>
        <w:tblCellMar>
          <w:left w:w="0" w:type="dxa"/>
          <w:right w:w="0" w:type="dxa"/>
        </w:tblCellMar>
        <w:tblLook w:val="04A0" w:firstRow="1" w:lastRow="0" w:firstColumn="1" w:lastColumn="0" w:noHBand="0" w:noVBand="1"/>
      </w:tblPr>
      <w:tblGrid>
        <w:gridCol w:w="3216"/>
        <w:gridCol w:w="1877"/>
        <w:gridCol w:w="4859"/>
      </w:tblGrid>
      <w:tr w:rsidR="00B93FB9" w:rsidRPr="00B93FB9" w14:paraId="1A680DBA" w14:textId="77777777" w:rsidTr="00B93FB9">
        <w:tc>
          <w:tcPr>
            <w:tcW w:w="1616" w:type="pc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5D5D67A6" w14:textId="3C5BB745" w:rsidR="00B93FB9" w:rsidRPr="00B93FB9" w:rsidRDefault="00B93FB9" w:rsidP="000A10D9">
            <w:pPr>
              <w:spacing w:after="0" w:line="240" w:lineRule="auto"/>
              <w:rPr>
                <w:rFonts w:eastAsia="Times New Roman" w:cs="Segoe UI"/>
                <w:color w:val="000000"/>
                <w:sz w:val="24"/>
                <w:szCs w:val="24"/>
                <w:lang w:val="fr-FR" w:eastAsia="fr-FR"/>
              </w:rPr>
            </w:pPr>
            <w:r w:rsidRPr="00B93FB9">
              <w:rPr>
                <w:rFonts w:eastAsia="Times New Roman" w:cs="Segoe UI"/>
                <w:b/>
                <w:bCs/>
                <w:color w:val="000000"/>
                <w:sz w:val="24"/>
                <w:szCs w:val="24"/>
                <w:bdr w:val="none" w:sz="0" w:space="0" w:color="auto" w:frame="1"/>
                <w:lang w:eastAsia="fr-FR"/>
              </w:rPr>
              <w:t>Critère</w:t>
            </w:r>
            <w:r w:rsidR="000A10D9">
              <w:rPr>
                <w:rFonts w:eastAsia="Times New Roman" w:cs="Segoe UI"/>
                <w:b/>
                <w:bCs/>
                <w:color w:val="000000"/>
                <w:sz w:val="24"/>
                <w:szCs w:val="24"/>
                <w:bdr w:val="none" w:sz="0" w:space="0" w:color="auto" w:frame="1"/>
                <w:lang w:eastAsia="fr-FR"/>
              </w:rPr>
              <w:t>s</w:t>
            </w:r>
          </w:p>
        </w:tc>
        <w:tc>
          <w:tcPr>
            <w:tcW w:w="943"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5E2AC3" w14:textId="77777777" w:rsidR="00B93FB9" w:rsidRPr="00B93FB9" w:rsidRDefault="00B93FB9" w:rsidP="000A10D9">
            <w:pPr>
              <w:spacing w:after="0" w:line="240" w:lineRule="auto"/>
              <w:rPr>
                <w:rFonts w:eastAsia="Times New Roman" w:cs="Segoe UI"/>
                <w:color w:val="000000"/>
                <w:sz w:val="24"/>
                <w:szCs w:val="24"/>
                <w:lang w:val="fr-FR" w:eastAsia="fr-FR"/>
              </w:rPr>
            </w:pPr>
            <w:r w:rsidRPr="00B93FB9">
              <w:rPr>
                <w:rFonts w:eastAsia="Times New Roman" w:cs="Segoe UI"/>
                <w:b/>
                <w:bCs/>
                <w:color w:val="000000"/>
                <w:sz w:val="24"/>
                <w:szCs w:val="24"/>
                <w:bdr w:val="none" w:sz="0" w:space="0" w:color="auto" w:frame="1"/>
                <w:lang w:eastAsia="fr-FR"/>
              </w:rPr>
              <w:t>Pondération</w:t>
            </w:r>
          </w:p>
        </w:tc>
        <w:tc>
          <w:tcPr>
            <w:tcW w:w="2441" w:type="pc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E9B646A" w14:textId="77777777" w:rsidR="00B93FB9" w:rsidRPr="00B93FB9" w:rsidRDefault="00B93FB9" w:rsidP="000A10D9">
            <w:pPr>
              <w:spacing w:after="0" w:line="240" w:lineRule="auto"/>
              <w:rPr>
                <w:rFonts w:eastAsia="Times New Roman" w:cs="Segoe UI"/>
                <w:color w:val="000000"/>
                <w:sz w:val="24"/>
                <w:szCs w:val="24"/>
                <w:lang w:val="fr-FR" w:eastAsia="fr-FR"/>
              </w:rPr>
            </w:pPr>
            <w:r w:rsidRPr="00B93FB9">
              <w:rPr>
                <w:rFonts w:eastAsia="Times New Roman" w:cs="Segoe UI"/>
                <w:b/>
                <w:bCs/>
                <w:color w:val="000000"/>
                <w:sz w:val="24"/>
                <w:szCs w:val="24"/>
                <w:bdr w:val="none" w:sz="0" w:space="0" w:color="auto" w:frame="1"/>
                <w:lang w:eastAsia="fr-FR"/>
              </w:rPr>
              <w:t>Principaux éléments appréciés</w:t>
            </w:r>
          </w:p>
        </w:tc>
      </w:tr>
      <w:tr w:rsidR="00B93FB9" w:rsidRPr="00072B4D" w14:paraId="35800472" w14:textId="77777777" w:rsidTr="00B93FB9">
        <w:tc>
          <w:tcPr>
            <w:tcW w:w="16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E35C88" w14:textId="77777777" w:rsidR="00B93FB9" w:rsidRPr="000A10D9" w:rsidRDefault="00B93FB9" w:rsidP="00B93FB9">
            <w:pPr>
              <w:numPr>
                <w:ilvl w:val="1"/>
                <w:numId w:val="13"/>
              </w:numPr>
              <w:tabs>
                <w:tab w:val="num" w:pos="164"/>
              </w:tabs>
              <w:spacing w:after="0" w:line="240" w:lineRule="auto"/>
              <w:ind w:left="447"/>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val="fr-FR" w:eastAsia="fr-FR"/>
              </w:rPr>
              <w:t>Qualité du service proposé aux usagers</w:t>
            </w:r>
          </w:p>
        </w:tc>
        <w:tc>
          <w:tcPr>
            <w:tcW w:w="94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619D94" w14:textId="77777777" w:rsidR="00B93FB9" w:rsidRPr="000A10D9" w:rsidRDefault="00B93FB9" w:rsidP="00B93FB9">
            <w:pPr>
              <w:numPr>
                <w:ilvl w:val="1"/>
                <w:numId w:val="14"/>
              </w:numPr>
              <w:tabs>
                <w:tab w:val="clear" w:pos="1440"/>
                <w:tab w:val="num" w:pos="320"/>
              </w:tabs>
              <w:spacing w:after="0" w:line="240" w:lineRule="auto"/>
              <w:ind w:left="320"/>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eastAsia="fr-FR"/>
              </w:rPr>
              <w:t>25 pts</w:t>
            </w:r>
          </w:p>
        </w:tc>
        <w:tc>
          <w:tcPr>
            <w:tcW w:w="24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8E71E3E" w14:textId="77777777" w:rsidR="00B93FB9" w:rsidRPr="000A10D9" w:rsidRDefault="00B93FB9" w:rsidP="00B93FB9">
            <w:pPr>
              <w:numPr>
                <w:ilvl w:val="1"/>
                <w:numId w:val="15"/>
              </w:numPr>
              <w:spacing w:after="0" w:line="240" w:lineRule="auto"/>
              <w:ind w:left="319"/>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val="fr-FR" w:eastAsia="fr-FR"/>
              </w:rPr>
              <w:t>Simplicité d’utilisation, moyens de paiement, accès sans abonnement, interopérabilité, assistance, information usager, accessibilité.</w:t>
            </w:r>
          </w:p>
        </w:tc>
      </w:tr>
      <w:tr w:rsidR="00B93FB9" w:rsidRPr="00072B4D" w14:paraId="7885B978" w14:textId="77777777" w:rsidTr="00B93FB9">
        <w:tc>
          <w:tcPr>
            <w:tcW w:w="16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B374DAD" w14:textId="77777777" w:rsidR="00B93FB9" w:rsidRPr="000A10D9" w:rsidRDefault="00B93FB9" w:rsidP="00B93FB9">
            <w:pPr>
              <w:numPr>
                <w:ilvl w:val="1"/>
                <w:numId w:val="16"/>
              </w:numPr>
              <w:tabs>
                <w:tab w:val="num" w:pos="164"/>
              </w:tabs>
              <w:spacing w:after="0" w:line="240" w:lineRule="auto"/>
              <w:ind w:left="447"/>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eastAsia="fr-FR"/>
              </w:rPr>
              <w:t>Qualité technique des infrastructures</w:t>
            </w:r>
          </w:p>
        </w:tc>
        <w:tc>
          <w:tcPr>
            <w:tcW w:w="94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ABAB87" w14:textId="77777777" w:rsidR="00B93FB9" w:rsidRPr="000A10D9" w:rsidRDefault="00B93FB9" w:rsidP="00B93FB9">
            <w:pPr>
              <w:numPr>
                <w:ilvl w:val="1"/>
                <w:numId w:val="17"/>
              </w:numPr>
              <w:tabs>
                <w:tab w:val="clear" w:pos="1440"/>
                <w:tab w:val="num" w:pos="320"/>
              </w:tabs>
              <w:spacing w:after="0" w:line="240" w:lineRule="auto"/>
              <w:ind w:left="320"/>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eastAsia="fr-FR"/>
              </w:rPr>
              <w:t>25 pts</w:t>
            </w:r>
          </w:p>
        </w:tc>
        <w:tc>
          <w:tcPr>
            <w:tcW w:w="24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BE05766" w14:textId="77777777" w:rsidR="00B93FB9" w:rsidRPr="000A10D9" w:rsidRDefault="00B93FB9" w:rsidP="00B93FB9">
            <w:pPr>
              <w:numPr>
                <w:ilvl w:val="1"/>
                <w:numId w:val="18"/>
              </w:numPr>
              <w:spacing w:after="0" w:line="240" w:lineRule="auto"/>
              <w:ind w:left="319"/>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val="fr-FR" w:eastAsia="fr-FR"/>
              </w:rPr>
              <w:t xml:space="preserve">Puissance, robustesse, évolutivité, sécurité, intégration, supervision, </w:t>
            </w:r>
            <w:r w:rsidRPr="000A10D9">
              <w:rPr>
                <w:rFonts w:eastAsia="Times New Roman" w:cs="Segoe UI"/>
                <w:color w:val="000000"/>
                <w:sz w:val="24"/>
                <w:szCs w:val="24"/>
                <w:bdr w:val="none" w:sz="0" w:space="0" w:color="auto" w:frame="1"/>
                <w:lang w:val="fr-FR" w:eastAsia="fr-FR"/>
              </w:rPr>
              <w:lastRenderedPageBreak/>
              <w:t>maintenance, disponibilité et délais d’intervention.</w:t>
            </w:r>
          </w:p>
        </w:tc>
      </w:tr>
      <w:tr w:rsidR="00B93FB9" w:rsidRPr="00072B4D" w14:paraId="634040EC" w14:textId="77777777" w:rsidTr="00B93FB9">
        <w:tc>
          <w:tcPr>
            <w:tcW w:w="16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D29337E" w14:textId="77777777" w:rsidR="00B93FB9" w:rsidRPr="000A10D9" w:rsidRDefault="00B93FB9" w:rsidP="00B93FB9">
            <w:pPr>
              <w:numPr>
                <w:ilvl w:val="1"/>
                <w:numId w:val="19"/>
              </w:numPr>
              <w:tabs>
                <w:tab w:val="num" w:pos="164"/>
              </w:tabs>
              <w:spacing w:after="0" w:line="240" w:lineRule="auto"/>
              <w:ind w:left="447"/>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val="fr-FR" w:eastAsia="fr-FR"/>
              </w:rPr>
              <w:lastRenderedPageBreak/>
              <w:t>Pertinence du projet de déploiement</w:t>
            </w:r>
          </w:p>
        </w:tc>
        <w:tc>
          <w:tcPr>
            <w:tcW w:w="94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0A94F33" w14:textId="77777777" w:rsidR="00B93FB9" w:rsidRPr="000A10D9" w:rsidRDefault="00B93FB9" w:rsidP="00B93FB9">
            <w:pPr>
              <w:numPr>
                <w:ilvl w:val="1"/>
                <w:numId w:val="20"/>
              </w:numPr>
              <w:tabs>
                <w:tab w:val="clear" w:pos="1440"/>
                <w:tab w:val="num" w:pos="320"/>
              </w:tabs>
              <w:spacing w:after="0" w:line="240" w:lineRule="auto"/>
              <w:ind w:left="320"/>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eastAsia="fr-FR"/>
              </w:rPr>
              <w:t>30 pts</w:t>
            </w:r>
          </w:p>
        </w:tc>
        <w:tc>
          <w:tcPr>
            <w:tcW w:w="24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A503CFB" w14:textId="77777777" w:rsidR="00B93FB9" w:rsidRPr="000A10D9" w:rsidRDefault="00B93FB9" w:rsidP="00B93FB9">
            <w:pPr>
              <w:numPr>
                <w:ilvl w:val="1"/>
                <w:numId w:val="21"/>
              </w:numPr>
              <w:spacing w:after="0" w:line="240" w:lineRule="auto"/>
              <w:ind w:left="319"/>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val="fr-FR" w:eastAsia="fr-FR"/>
              </w:rPr>
              <w:t>Implantations, dimensionnement, nombre de bornes, calendrier, évolutivité et modalités de raccordement.</w:t>
            </w:r>
          </w:p>
        </w:tc>
      </w:tr>
      <w:tr w:rsidR="00B93FB9" w:rsidRPr="00072B4D" w14:paraId="3CEAE244" w14:textId="77777777" w:rsidTr="00B93FB9">
        <w:tc>
          <w:tcPr>
            <w:tcW w:w="16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3079279" w14:textId="77777777" w:rsidR="00B93FB9" w:rsidRPr="000A10D9" w:rsidRDefault="00B93FB9" w:rsidP="00B93FB9">
            <w:pPr>
              <w:numPr>
                <w:ilvl w:val="1"/>
                <w:numId w:val="22"/>
              </w:numPr>
              <w:tabs>
                <w:tab w:val="num" w:pos="164"/>
              </w:tabs>
              <w:spacing w:after="0" w:line="240" w:lineRule="auto"/>
              <w:ind w:left="447"/>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eastAsia="fr-FR"/>
              </w:rPr>
              <w:t>Conditions économiques</w:t>
            </w:r>
          </w:p>
        </w:tc>
        <w:tc>
          <w:tcPr>
            <w:tcW w:w="94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8B05A5" w14:textId="77777777" w:rsidR="00B93FB9" w:rsidRPr="000A10D9" w:rsidRDefault="00B93FB9" w:rsidP="00B93FB9">
            <w:pPr>
              <w:numPr>
                <w:ilvl w:val="1"/>
                <w:numId w:val="23"/>
              </w:numPr>
              <w:tabs>
                <w:tab w:val="clear" w:pos="1440"/>
                <w:tab w:val="num" w:pos="320"/>
              </w:tabs>
              <w:spacing w:after="0" w:line="240" w:lineRule="auto"/>
              <w:ind w:left="320"/>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eastAsia="fr-FR"/>
              </w:rPr>
              <w:t>10 pts</w:t>
            </w:r>
          </w:p>
        </w:tc>
        <w:tc>
          <w:tcPr>
            <w:tcW w:w="24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464750B" w14:textId="77777777" w:rsidR="00B93FB9" w:rsidRPr="000A10D9" w:rsidRDefault="00B93FB9" w:rsidP="00B93FB9">
            <w:pPr>
              <w:numPr>
                <w:ilvl w:val="1"/>
                <w:numId w:val="24"/>
              </w:numPr>
              <w:spacing w:after="0" w:line="240" w:lineRule="auto"/>
              <w:ind w:left="319"/>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val="fr-FR" w:eastAsia="fr-FR"/>
              </w:rPr>
              <w:t>Tarification usagers, lisibilité, redevance proposée à la Commune, équilibre économique.</w:t>
            </w:r>
          </w:p>
        </w:tc>
      </w:tr>
      <w:tr w:rsidR="00B93FB9" w:rsidRPr="00072B4D" w14:paraId="6EEED8DB" w14:textId="77777777" w:rsidTr="00B93FB9">
        <w:tc>
          <w:tcPr>
            <w:tcW w:w="1616"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19F7182E" w14:textId="77777777" w:rsidR="00B93FB9" w:rsidRPr="000A10D9" w:rsidRDefault="00B93FB9" w:rsidP="00B93FB9">
            <w:pPr>
              <w:numPr>
                <w:ilvl w:val="1"/>
                <w:numId w:val="25"/>
              </w:numPr>
              <w:tabs>
                <w:tab w:val="num" w:pos="164"/>
              </w:tabs>
              <w:spacing w:after="0" w:line="240" w:lineRule="auto"/>
              <w:ind w:left="447"/>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val="fr-FR" w:eastAsia="fr-FR"/>
              </w:rPr>
              <w:t>Délais de mise en œuvre</w:t>
            </w:r>
          </w:p>
        </w:tc>
        <w:tc>
          <w:tcPr>
            <w:tcW w:w="943"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7676F82" w14:textId="77777777" w:rsidR="00B93FB9" w:rsidRPr="000A10D9" w:rsidRDefault="00B93FB9" w:rsidP="00B93FB9">
            <w:pPr>
              <w:numPr>
                <w:ilvl w:val="1"/>
                <w:numId w:val="26"/>
              </w:numPr>
              <w:tabs>
                <w:tab w:val="clear" w:pos="1440"/>
                <w:tab w:val="num" w:pos="320"/>
              </w:tabs>
              <w:spacing w:after="0" w:line="240" w:lineRule="auto"/>
              <w:ind w:left="320"/>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eastAsia="fr-FR"/>
              </w:rPr>
              <w:t>10 pts</w:t>
            </w:r>
          </w:p>
        </w:tc>
        <w:tc>
          <w:tcPr>
            <w:tcW w:w="2441"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62D9D0E" w14:textId="77777777" w:rsidR="00B93FB9" w:rsidRPr="000A10D9" w:rsidRDefault="00B93FB9" w:rsidP="00B93FB9">
            <w:pPr>
              <w:numPr>
                <w:ilvl w:val="1"/>
                <w:numId w:val="27"/>
              </w:numPr>
              <w:spacing w:after="0" w:line="240" w:lineRule="auto"/>
              <w:ind w:left="319"/>
              <w:rPr>
                <w:rFonts w:eastAsia="Times New Roman" w:cs="Segoe UI"/>
                <w:color w:val="000000"/>
                <w:sz w:val="24"/>
                <w:szCs w:val="24"/>
                <w:lang w:val="fr-FR" w:eastAsia="fr-FR"/>
              </w:rPr>
            </w:pPr>
            <w:r w:rsidRPr="000A10D9">
              <w:rPr>
                <w:rFonts w:eastAsia="Times New Roman" w:cs="Segoe UI"/>
                <w:color w:val="000000"/>
                <w:sz w:val="24"/>
                <w:szCs w:val="24"/>
                <w:bdr w:val="none" w:sz="0" w:space="0" w:color="auto" w:frame="1"/>
                <w:lang w:val="fr-FR" w:eastAsia="fr-FR"/>
              </w:rPr>
              <w:t>Délais de travaux, raccordement, mise en service et crédibilité du calendrier.</w:t>
            </w:r>
          </w:p>
        </w:tc>
      </w:tr>
    </w:tbl>
    <w:p w14:paraId="6696D0B8" w14:textId="77777777" w:rsidR="00B93FB9" w:rsidRDefault="00B93FB9">
      <w:pPr>
        <w:spacing w:after="100" w:line="252" w:lineRule="auto"/>
        <w:rPr>
          <w:lang w:val="fr-FR"/>
        </w:rPr>
      </w:pPr>
    </w:p>
    <w:p w14:paraId="1263975D" w14:textId="77777777" w:rsidR="00B93FB9" w:rsidRPr="00D12B8D" w:rsidRDefault="00B93FB9">
      <w:pPr>
        <w:spacing w:after="100" w:line="252" w:lineRule="auto"/>
        <w:rPr>
          <w:lang w:val="fr-FR"/>
        </w:rPr>
      </w:pPr>
    </w:p>
    <w:p w14:paraId="48CE953C" w14:textId="77777777" w:rsidR="001314FE" w:rsidRPr="00D12B8D" w:rsidRDefault="00EE454F">
      <w:pPr>
        <w:pStyle w:val="Titre2"/>
        <w:rPr>
          <w:lang w:val="fr-FR"/>
        </w:rPr>
      </w:pPr>
      <w:r w:rsidRPr="00D12B8D">
        <w:rPr>
          <w:lang w:val="fr-FR"/>
        </w:rPr>
        <w:t>3.2. Processus de sélection</w:t>
      </w:r>
    </w:p>
    <w:p w14:paraId="383FFB7C" w14:textId="77777777" w:rsidR="001314FE" w:rsidRPr="00D12B8D" w:rsidRDefault="00EE454F">
      <w:pPr>
        <w:spacing w:after="100" w:line="252" w:lineRule="auto"/>
        <w:rPr>
          <w:lang w:val="fr-FR"/>
        </w:rPr>
      </w:pPr>
      <w:r w:rsidRPr="00D12B8D">
        <w:rPr>
          <w:lang w:val="fr-FR"/>
        </w:rPr>
        <w:t>À compter de la date limite de remise des propositions, la Commune procédera à l’analyse des dossiers sur la base des critères définis ci-dessus.</w:t>
      </w:r>
    </w:p>
    <w:p w14:paraId="099F91FA" w14:textId="77777777" w:rsidR="001314FE" w:rsidRPr="00D12B8D" w:rsidRDefault="00EE454F">
      <w:pPr>
        <w:spacing w:after="100" w:line="252" w:lineRule="auto"/>
        <w:rPr>
          <w:lang w:val="fr-FR"/>
        </w:rPr>
      </w:pPr>
      <w:r w:rsidRPr="00D12B8D">
        <w:rPr>
          <w:lang w:val="fr-FR"/>
        </w:rPr>
        <w:t>La Commune pourra demander aux candidats de préciser, compléter ou expliciter certains éléments de leur proposition, dans le respect de l’égalité de traitement des candidats.</w:t>
      </w:r>
    </w:p>
    <w:p w14:paraId="49AFD3B3" w14:textId="77777777" w:rsidR="001314FE" w:rsidRPr="00D12B8D" w:rsidRDefault="00EE454F">
      <w:pPr>
        <w:spacing w:after="100" w:line="252" w:lineRule="auto"/>
        <w:rPr>
          <w:lang w:val="fr-FR"/>
        </w:rPr>
      </w:pPr>
      <w:r w:rsidRPr="00D12B8D">
        <w:rPr>
          <w:lang w:val="fr-FR"/>
        </w:rPr>
        <w:t>La Commune pourra également inviter un ou plusieurs candidats à présenter oralement leur projet. Cette audition pourra comprendre une présentation de la solution, des équipements, du modèle économique, des conditions d’exploitation et un temps de questions-réponses.</w:t>
      </w:r>
    </w:p>
    <w:p w14:paraId="7959567C" w14:textId="77777777" w:rsidR="001314FE" w:rsidRPr="00D12B8D" w:rsidRDefault="00EE454F">
      <w:pPr>
        <w:spacing w:after="100" w:line="252" w:lineRule="auto"/>
        <w:rPr>
          <w:lang w:val="fr-FR"/>
        </w:rPr>
      </w:pPr>
      <w:r w:rsidRPr="00D12B8D">
        <w:rPr>
          <w:lang w:val="fr-FR"/>
        </w:rPr>
        <w:t>Jusqu’à la signature de la convention, la Commune d’Erquy se réserve la possibilité d’interrompre, suspendre ou déclarer sans suite la procédure, de modifier le périmètre du projet ou de ne retenir aucune des propositions reçues, sans que les candidats puissent prétendre à une indemnisation.</w:t>
      </w:r>
    </w:p>
    <w:p w14:paraId="7357D8CB" w14:textId="77777777" w:rsidR="001314FE" w:rsidRPr="00D12B8D" w:rsidRDefault="00EE454F">
      <w:pPr>
        <w:pStyle w:val="Titre1"/>
        <w:rPr>
          <w:lang w:val="fr-FR"/>
        </w:rPr>
      </w:pPr>
      <w:r w:rsidRPr="00D12B8D">
        <w:rPr>
          <w:lang w:val="fr-FR"/>
        </w:rPr>
        <w:t>4. COMPOSITION DES PROPOSITIONS</w:t>
      </w:r>
    </w:p>
    <w:p w14:paraId="0C24C66E" w14:textId="77777777" w:rsidR="001314FE" w:rsidRPr="00D12B8D" w:rsidRDefault="00EE454F">
      <w:pPr>
        <w:pStyle w:val="Titre2"/>
        <w:rPr>
          <w:lang w:val="fr-FR"/>
        </w:rPr>
      </w:pPr>
      <w:r w:rsidRPr="00D12B8D">
        <w:rPr>
          <w:lang w:val="fr-FR"/>
        </w:rPr>
        <w:t>4.1. Recevabilité et complétude</w:t>
      </w:r>
    </w:p>
    <w:p w14:paraId="79DD25FA" w14:textId="77777777" w:rsidR="001314FE" w:rsidRPr="00D12B8D" w:rsidRDefault="00EE454F">
      <w:pPr>
        <w:spacing w:after="100" w:line="252" w:lineRule="auto"/>
        <w:rPr>
          <w:lang w:val="fr-FR"/>
        </w:rPr>
      </w:pPr>
      <w:r w:rsidRPr="00D12B8D">
        <w:rPr>
          <w:lang w:val="fr-FR"/>
        </w:rPr>
        <w:t>Le dossier remis par chaque candidat devra comporter l’ensemble des renseignements nécessaires à l’appréciation de sa proposition. La Commune pourra solliciter des précisions ou compléments lorsqu’ils apparaissent nécessaires à la bonne compréhension du dossier.</w:t>
      </w:r>
    </w:p>
    <w:p w14:paraId="3406D49E" w14:textId="77777777" w:rsidR="001314FE" w:rsidRPr="00D12B8D" w:rsidRDefault="00EE454F">
      <w:pPr>
        <w:pStyle w:val="Titre2"/>
        <w:rPr>
          <w:lang w:val="fr-FR"/>
        </w:rPr>
      </w:pPr>
      <w:r w:rsidRPr="00D12B8D">
        <w:rPr>
          <w:lang w:val="fr-FR"/>
        </w:rPr>
        <w:t>4.2. Contenu des propositions</w:t>
      </w:r>
    </w:p>
    <w:p w14:paraId="0517815A" w14:textId="77777777" w:rsidR="001314FE" w:rsidRPr="00D12B8D" w:rsidRDefault="00EE454F">
      <w:pPr>
        <w:spacing w:after="100" w:line="252" w:lineRule="auto"/>
        <w:rPr>
          <w:lang w:val="fr-FR"/>
        </w:rPr>
      </w:pPr>
      <w:r w:rsidRPr="00D12B8D">
        <w:rPr>
          <w:lang w:val="fr-FR"/>
        </w:rPr>
        <w:t>Chaque candidat devra désigner un interlocuteur référent et fournir une adresse électronique et un numéro de téléphone. Les dossiers devront être rédigés en langue française et comprendre au minimum les documents suivants.</w:t>
      </w:r>
    </w:p>
    <w:p w14:paraId="71CA05E6" w14:textId="77777777" w:rsidR="001314FE" w:rsidRDefault="00EE454F">
      <w:pPr>
        <w:pStyle w:val="Titre3"/>
      </w:pPr>
      <w:r>
        <w:t>A – Présentation du candidat</w:t>
      </w:r>
    </w:p>
    <w:p w14:paraId="6E514F33" w14:textId="77777777" w:rsidR="001314FE" w:rsidRPr="00D12B8D" w:rsidRDefault="00EE454F">
      <w:pPr>
        <w:pStyle w:val="Listepuces"/>
        <w:spacing w:after="40"/>
        <w:rPr>
          <w:lang w:val="fr-FR"/>
        </w:rPr>
      </w:pPr>
      <w:r w:rsidRPr="00D12B8D">
        <w:rPr>
          <w:lang w:val="fr-FR"/>
        </w:rPr>
        <w:t>courrier de candidature et présentation de l’intérêt du candidat pour le projet ;</w:t>
      </w:r>
    </w:p>
    <w:p w14:paraId="4058411A" w14:textId="77777777" w:rsidR="001314FE" w:rsidRPr="00D12B8D" w:rsidRDefault="00EE454F">
      <w:pPr>
        <w:pStyle w:val="Listepuces"/>
        <w:spacing w:after="40"/>
        <w:rPr>
          <w:lang w:val="fr-FR"/>
        </w:rPr>
      </w:pPr>
      <w:r w:rsidRPr="00D12B8D">
        <w:rPr>
          <w:lang w:val="fr-FR"/>
        </w:rPr>
        <w:t>identification de l’entreprise et extrait Kbis ou document équivalent ;</w:t>
      </w:r>
    </w:p>
    <w:p w14:paraId="14C659BD" w14:textId="77777777" w:rsidR="001314FE" w:rsidRPr="00D12B8D" w:rsidRDefault="00EE454F">
      <w:pPr>
        <w:pStyle w:val="Listepuces"/>
        <w:spacing w:after="40"/>
        <w:rPr>
          <w:lang w:val="fr-FR"/>
        </w:rPr>
      </w:pPr>
      <w:r w:rsidRPr="00D12B8D">
        <w:rPr>
          <w:lang w:val="fr-FR"/>
        </w:rPr>
        <w:t>présentation du groupe éventuel auquel appartient le candidat ;</w:t>
      </w:r>
    </w:p>
    <w:p w14:paraId="186D7297" w14:textId="77777777" w:rsidR="001314FE" w:rsidRDefault="00EE454F">
      <w:pPr>
        <w:pStyle w:val="Listepuces"/>
        <w:spacing w:after="40"/>
      </w:pPr>
      <w:r>
        <w:t>capacités économiques et financières ;</w:t>
      </w:r>
    </w:p>
    <w:p w14:paraId="39D1D6E9" w14:textId="77777777" w:rsidR="001314FE" w:rsidRPr="00D12B8D" w:rsidRDefault="00EE454F">
      <w:pPr>
        <w:pStyle w:val="Listepuces"/>
        <w:spacing w:after="40"/>
        <w:rPr>
          <w:lang w:val="fr-FR"/>
        </w:rPr>
      </w:pPr>
      <w:r w:rsidRPr="00D12B8D">
        <w:rPr>
          <w:lang w:val="fr-FR"/>
        </w:rPr>
        <w:t>références et expériences dans le domaine des infrastructures de recharge ;</w:t>
      </w:r>
    </w:p>
    <w:p w14:paraId="422E6A22" w14:textId="77777777" w:rsidR="001314FE" w:rsidRDefault="00EE454F">
      <w:pPr>
        <w:pStyle w:val="Listepuces"/>
        <w:spacing w:after="40"/>
      </w:pPr>
      <w:r>
        <w:t>références de collectivités équipées ;</w:t>
      </w:r>
    </w:p>
    <w:p w14:paraId="09AA6AC1" w14:textId="77777777" w:rsidR="001314FE" w:rsidRPr="00D12B8D" w:rsidRDefault="00EE454F">
      <w:pPr>
        <w:pStyle w:val="Listepuces"/>
        <w:spacing w:after="40"/>
        <w:rPr>
          <w:lang w:val="fr-FR"/>
        </w:rPr>
      </w:pPr>
      <w:r w:rsidRPr="00D12B8D">
        <w:rPr>
          <w:lang w:val="fr-FR"/>
        </w:rPr>
        <w:t>moyens humains et techniques mobilisables.</w:t>
      </w:r>
    </w:p>
    <w:p w14:paraId="69CE1DC4" w14:textId="77777777" w:rsidR="001314FE" w:rsidRDefault="00EE454F">
      <w:pPr>
        <w:pStyle w:val="Titre3"/>
      </w:pPr>
      <w:r>
        <w:lastRenderedPageBreak/>
        <w:t>B – Documents administratifs</w:t>
      </w:r>
    </w:p>
    <w:p w14:paraId="2358D620" w14:textId="77777777" w:rsidR="001314FE" w:rsidRPr="00D12B8D" w:rsidRDefault="00EE454F">
      <w:pPr>
        <w:pStyle w:val="Listepuces"/>
        <w:spacing w:after="40"/>
        <w:rPr>
          <w:lang w:val="fr-FR"/>
        </w:rPr>
      </w:pPr>
      <w:r w:rsidRPr="00D12B8D">
        <w:rPr>
          <w:lang w:val="fr-FR"/>
        </w:rPr>
        <w:t>attestations fiscales et sociales en cours de validité ;</w:t>
      </w:r>
    </w:p>
    <w:p w14:paraId="221B4F03" w14:textId="77777777" w:rsidR="001314FE" w:rsidRPr="00D12B8D" w:rsidRDefault="00EE454F">
      <w:pPr>
        <w:pStyle w:val="Listepuces"/>
        <w:spacing w:after="40"/>
        <w:rPr>
          <w:lang w:val="fr-FR"/>
        </w:rPr>
      </w:pPr>
      <w:r w:rsidRPr="00D12B8D">
        <w:rPr>
          <w:lang w:val="fr-FR"/>
        </w:rPr>
        <w:t>attestation d’assurance responsabilité civile professionnelle ;</w:t>
      </w:r>
    </w:p>
    <w:p w14:paraId="0CB2E136" w14:textId="77777777" w:rsidR="001314FE" w:rsidRPr="00D12B8D" w:rsidRDefault="00EE454F">
      <w:pPr>
        <w:pStyle w:val="Listepuces"/>
        <w:spacing w:after="40"/>
        <w:rPr>
          <w:lang w:val="fr-FR"/>
        </w:rPr>
      </w:pPr>
      <w:r w:rsidRPr="00D12B8D">
        <w:rPr>
          <w:lang w:val="fr-FR"/>
        </w:rPr>
        <w:t>tout certificat, qualification ou habilitation nécessaire à l’installation et à l’exploitation des infrastructures.</w:t>
      </w:r>
    </w:p>
    <w:p w14:paraId="45769428" w14:textId="77777777" w:rsidR="001314FE" w:rsidRPr="00D12B8D" w:rsidRDefault="00EE454F">
      <w:pPr>
        <w:pStyle w:val="Titre3"/>
        <w:rPr>
          <w:lang w:val="fr-FR"/>
        </w:rPr>
      </w:pPr>
      <w:r w:rsidRPr="00D12B8D">
        <w:rPr>
          <w:lang w:val="fr-FR"/>
        </w:rPr>
        <w:t>C – Mémoire technique</w:t>
      </w:r>
    </w:p>
    <w:p w14:paraId="711E9D91" w14:textId="77777777" w:rsidR="001314FE" w:rsidRPr="00D12B8D" w:rsidRDefault="00EE454F">
      <w:pPr>
        <w:spacing w:after="100" w:line="252" w:lineRule="auto"/>
        <w:rPr>
          <w:lang w:val="fr-FR"/>
        </w:rPr>
      </w:pPr>
      <w:r w:rsidRPr="00D12B8D">
        <w:rPr>
          <w:lang w:val="fr-FR"/>
        </w:rPr>
        <w:t>Le mémoire technique précisera notamment :</w:t>
      </w:r>
    </w:p>
    <w:p w14:paraId="3E8FB81D" w14:textId="77777777" w:rsidR="001314FE" w:rsidRPr="00D12B8D" w:rsidRDefault="00EE454F">
      <w:pPr>
        <w:pStyle w:val="Listepuces"/>
        <w:spacing w:after="40"/>
        <w:rPr>
          <w:lang w:val="fr-FR"/>
        </w:rPr>
      </w:pPr>
      <w:r w:rsidRPr="00D12B8D">
        <w:rPr>
          <w:lang w:val="fr-FR"/>
        </w:rPr>
        <w:t>les infrastructures proposées : fabricant, modèle, puissance, nombre de points de charge, types de prises, sécurité, intégration et robustesse ;</w:t>
      </w:r>
    </w:p>
    <w:p w14:paraId="2A9714DE" w14:textId="77777777" w:rsidR="001314FE" w:rsidRPr="00D12B8D" w:rsidRDefault="00EE454F">
      <w:pPr>
        <w:pStyle w:val="Listepuces"/>
        <w:spacing w:after="40"/>
        <w:rPr>
          <w:lang w:val="fr-FR"/>
        </w:rPr>
      </w:pPr>
      <w:r w:rsidRPr="00D12B8D">
        <w:rPr>
          <w:lang w:val="fr-FR"/>
        </w:rPr>
        <w:t>le déploiement : implantation, travaux, raccordement, puissance nécessaire, démarches et calendrier ;</w:t>
      </w:r>
    </w:p>
    <w:p w14:paraId="01084472" w14:textId="77777777" w:rsidR="001314FE" w:rsidRPr="00D12B8D" w:rsidRDefault="00EE454F">
      <w:pPr>
        <w:pStyle w:val="Listepuces"/>
        <w:spacing w:after="40"/>
        <w:rPr>
          <w:lang w:val="fr-FR"/>
        </w:rPr>
      </w:pPr>
      <w:r w:rsidRPr="00D12B8D">
        <w:rPr>
          <w:lang w:val="fr-FR"/>
        </w:rPr>
        <w:t>l’exploitation : supervision, maintenance préventive et curative, délais d’intervention, astreinte et assistance ;</w:t>
      </w:r>
    </w:p>
    <w:p w14:paraId="35367AF1" w14:textId="77777777" w:rsidR="001314FE" w:rsidRPr="00D12B8D" w:rsidRDefault="00EE454F">
      <w:pPr>
        <w:pStyle w:val="Listepuces"/>
        <w:spacing w:after="40"/>
        <w:rPr>
          <w:lang w:val="fr-FR"/>
        </w:rPr>
      </w:pPr>
      <w:r w:rsidRPr="00D12B8D">
        <w:rPr>
          <w:lang w:val="fr-FR"/>
        </w:rPr>
        <w:t>l’accès au service : modes d’identification, paiement par carte bancaire, accès sans abonnement, badges, interopérabilité et application éventuelle ;</w:t>
      </w:r>
    </w:p>
    <w:p w14:paraId="06174BDE" w14:textId="77777777" w:rsidR="001314FE" w:rsidRPr="00D12B8D" w:rsidRDefault="00EE454F">
      <w:pPr>
        <w:pStyle w:val="Listepuces"/>
        <w:spacing w:after="40"/>
        <w:rPr>
          <w:lang w:val="fr-FR"/>
        </w:rPr>
      </w:pPr>
      <w:r w:rsidRPr="00D12B8D">
        <w:rPr>
          <w:lang w:val="fr-FR"/>
        </w:rPr>
        <w:t>la tarification : prix au kWh, tarification à la durée, frais fixes éventuels et frais d’occupation post-recharge ;</w:t>
      </w:r>
    </w:p>
    <w:p w14:paraId="46C63A3C" w14:textId="77777777" w:rsidR="001314FE" w:rsidRPr="00D12B8D" w:rsidRDefault="00EE454F">
      <w:pPr>
        <w:pStyle w:val="Listepuces"/>
        <w:spacing w:after="40"/>
        <w:rPr>
          <w:lang w:val="fr-FR"/>
        </w:rPr>
      </w:pPr>
      <w:r w:rsidRPr="00D12B8D">
        <w:rPr>
          <w:lang w:val="fr-FR"/>
        </w:rPr>
        <w:t>le suivi du service : sessions, énergie délivrée, durée moyenne, fréquentation, disponibilité et incidents.</w:t>
      </w:r>
    </w:p>
    <w:p w14:paraId="3DB4E2EE" w14:textId="77777777" w:rsidR="001314FE" w:rsidRPr="00D12B8D" w:rsidRDefault="00EE454F">
      <w:pPr>
        <w:pStyle w:val="Titre2"/>
        <w:rPr>
          <w:lang w:val="fr-FR"/>
        </w:rPr>
      </w:pPr>
      <w:r w:rsidRPr="00D12B8D">
        <w:rPr>
          <w:lang w:val="fr-FR"/>
        </w:rPr>
        <w:t>4.3. Proposition économique et redevance d’occupation</w:t>
      </w:r>
    </w:p>
    <w:p w14:paraId="5F729F6C" w14:textId="36CC06AA" w:rsidR="001314FE" w:rsidRPr="00D12B8D" w:rsidRDefault="00EE454F">
      <w:pPr>
        <w:spacing w:after="100" w:line="252" w:lineRule="auto"/>
        <w:rPr>
          <w:lang w:val="fr-FR"/>
        </w:rPr>
      </w:pPr>
      <w:r w:rsidRPr="00D12B8D">
        <w:rPr>
          <w:lang w:val="fr-FR"/>
        </w:rPr>
        <w:t>Le candidat précisera le modèle économique proposé, le montant total de l’investissement, la part prise en charge par l’opérateur, les modalités de financement et le niveau de redevance proposé.</w:t>
      </w:r>
    </w:p>
    <w:p w14:paraId="4B5ADFB4" w14:textId="0DA64D1C" w:rsidR="001314FE" w:rsidRPr="00D12B8D" w:rsidRDefault="00EE454F">
      <w:pPr>
        <w:spacing w:after="80"/>
        <w:rPr>
          <w:lang w:val="fr-FR"/>
        </w:rPr>
      </w:pPr>
      <w:r w:rsidRPr="00D12B8D">
        <w:rPr>
          <w:b/>
          <w:lang w:val="fr-FR"/>
        </w:rPr>
        <w:t xml:space="preserve">Part fixe annuelle de la redevance : </w:t>
      </w:r>
      <w:r w:rsidRPr="00D12B8D">
        <w:rPr>
          <w:b/>
          <w:color w:val="C0504D"/>
          <w:lang w:val="fr-FR"/>
        </w:rPr>
        <w:t>[À COMPLÉTER</w:t>
      </w:r>
      <w:r w:rsidR="00722044" w:rsidRPr="00D12B8D">
        <w:rPr>
          <w:b/>
          <w:color w:val="C0504D"/>
          <w:lang w:val="fr-FR"/>
        </w:rPr>
        <w:t xml:space="preserve"> par le candidat</w:t>
      </w:r>
      <w:r w:rsidRPr="00D12B8D">
        <w:rPr>
          <w:b/>
          <w:color w:val="C0504D"/>
          <w:lang w:val="fr-FR"/>
        </w:rPr>
        <w:t>]</w:t>
      </w:r>
    </w:p>
    <w:p w14:paraId="7844E4B0" w14:textId="43B61DF2" w:rsidR="001314FE" w:rsidRPr="00D12B8D" w:rsidRDefault="00EE454F">
      <w:pPr>
        <w:spacing w:after="80"/>
        <w:rPr>
          <w:lang w:val="fr-FR"/>
        </w:rPr>
      </w:pPr>
      <w:r w:rsidRPr="00D12B8D">
        <w:rPr>
          <w:b/>
          <w:lang w:val="fr-FR"/>
        </w:rPr>
        <w:t xml:space="preserve">Part variable sur le chiffre d’affaires HT : </w:t>
      </w:r>
      <w:r w:rsidRPr="00D12B8D">
        <w:rPr>
          <w:b/>
          <w:color w:val="C0504D"/>
          <w:lang w:val="fr-FR"/>
        </w:rPr>
        <w:t>[À COMPLÉTER</w:t>
      </w:r>
      <w:r w:rsidR="00722044" w:rsidRPr="00D12B8D">
        <w:rPr>
          <w:b/>
          <w:color w:val="C0504D"/>
          <w:lang w:val="fr-FR"/>
        </w:rPr>
        <w:t xml:space="preserve"> par le candidat</w:t>
      </w:r>
      <w:r w:rsidRPr="00D12B8D">
        <w:rPr>
          <w:b/>
          <w:color w:val="C0504D"/>
          <w:lang w:val="fr-FR"/>
        </w:rPr>
        <w:t>]</w:t>
      </w:r>
    </w:p>
    <w:p w14:paraId="06062E26" w14:textId="77777777" w:rsidR="001314FE" w:rsidRPr="00D12B8D" w:rsidRDefault="00EE454F">
      <w:pPr>
        <w:pStyle w:val="Titre2"/>
        <w:rPr>
          <w:lang w:val="fr-FR"/>
        </w:rPr>
      </w:pPr>
      <w:r w:rsidRPr="00D12B8D">
        <w:rPr>
          <w:lang w:val="fr-FR"/>
        </w:rPr>
        <w:t>4.4. Durée d’occupation proposée</w:t>
      </w:r>
    </w:p>
    <w:p w14:paraId="3625252C" w14:textId="77777777" w:rsidR="001314FE" w:rsidRPr="00D12B8D" w:rsidRDefault="00EE454F">
      <w:pPr>
        <w:spacing w:after="100" w:line="252" w:lineRule="auto"/>
        <w:rPr>
          <w:lang w:val="fr-FR"/>
        </w:rPr>
      </w:pPr>
      <w:r w:rsidRPr="00D12B8D">
        <w:rPr>
          <w:lang w:val="fr-FR"/>
        </w:rPr>
        <w:t>Le candidat précisera la durée d’autorisation du domaine public qu’il estime nécessaire à l’équilibre économique et à l’amortissement de son investissement. La durée définitive sera arrêtée dans la convention d’occupation.</w:t>
      </w:r>
    </w:p>
    <w:p w14:paraId="369F7E66" w14:textId="77777777" w:rsidR="00722044" w:rsidRPr="00D12B8D" w:rsidRDefault="00722044" w:rsidP="00722044">
      <w:pPr>
        <w:spacing w:after="80"/>
        <w:rPr>
          <w:b/>
          <w:lang w:val="fr-FR"/>
        </w:rPr>
      </w:pPr>
    </w:p>
    <w:p w14:paraId="12CCB96E" w14:textId="2CDA3E7E" w:rsidR="00722044" w:rsidRPr="00D12B8D" w:rsidRDefault="00722044" w:rsidP="00722044">
      <w:pPr>
        <w:spacing w:after="80"/>
        <w:rPr>
          <w:lang w:val="fr-FR"/>
        </w:rPr>
      </w:pPr>
      <w:r w:rsidRPr="00D12B8D">
        <w:rPr>
          <w:b/>
          <w:lang w:val="fr-FR"/>
        </w:rPr>
        <w:t xml:space="preserve">Part variable sur le chiffre d’affaires HT : </w:t>
      </w:r>
      <w:r w:rsidRPr="00D12B8D">
        <w:rPr>
          <w:b/>
          <w:color w:val="C0504D"/>
          <w:lang w:val="fr-FR"/>
        </w:rPr>
        <w:t>[À COMPLÉTER par le candidat]</w:t>
      </w:r>
    </w:p>
    <w:p w14:paraId="4A0FD9C2" w14:textId="77777777" w:rsidR="001314FE" w:rsidRPr="00D12B8D" w:rsidRDefault="00EE454F">
      <w:pPr>
        <w:pStyle w:val="Titre1"/>
        <w:rPr>
          <w:lang w:val="fr-FR"/>
        </w:rPr>
      </w:pPr>
      <w:r w:rsidRPr="00D12B8D">
        <w:rPr>
          <w:lang w:val="fr-FR"/>
        </w:rPr>
        <w:t>5. CONDITIONS DE REMISE DES PROPOSITIONS</w:t>
      </w:r>
    </w:p>
    <w:p w14:paraId="5D21B9F9" w14:textId="70F8034E" w:rsidR="001314FE" w:rsidRPr="005E56B6" w:rsidRDefault="00EE454F">
      <w:pPr>
        <w:spacing w:after="80"/>
        <w:rPr>
          <w:lang w:val="fr-FR"/>
        </w:rPr>
      </w:pPr>
      <w:r w:rsidRPr="00D12B8D">
        <w:rPr>
          <w:b/>
          <w:lang w:val="fr-FR"/>
        </w:rPr>
        <w:t xml:space="preserve">Date limite de remise des </w:t>
      </w:r>
      <w:r w:rsidRPr="005E56B6">
        <w:rPr>
          <w:b/>
          <w:lang w:val="fr-FR"/>
        </w:rPr>
        <w:t xml:space="preserve">propositions : </w:t>
      </w:r>
      <w:r w:rsidR="00B948B8">
        <w:rPr>
          <w:b/>
          <w:color w:val="C0504D"/>
          <w:lang w:val="fr-FR"/>
        </w:rPr>
        <w:t>4</w:t>
      </w:r>
      <w:r w:rsidR="00722044" w:rsidRPr="005E56B6">
        <w:rPr>
          <w:b/>
          <w:color w:val="C0504D"/>
          <w:lang w:val="fr-FR"/>
        </w:rPr>
        <w:t>/11/2026</w:t>
      </w:r>
    </w:p>
    <w:p w14:paraId="71E85EC5" w14:textId="74096F3D" w:rsidR="001314FE" w:rsidRPr="00D12B8D" w:rsidRDefault="00EE454F">
      <w:pPr>
        <w:spacing w:after="80"/>
        <w:rPr>
          <w:lang w:val="fr-FR"/>
        </w:rPr>
      </w:pPr>
      <w:r w:rsidRPr="005E56B6">
        <w:rPr>
          <w:b/>
          <w:lang w:val="fr-FR"/>
        </w:rPr>
        <w:t xml:space="preserve">Heure limite : </w:t>
      </w:r>
      <w:r w:rsidR="00722044" w:rsidRPr="005E56B6">
        <w:rPr>
          <w:b/>
          <w:color w:val="C0504D"/>
          <w:lang w:val="fr-FR"/>
        </w:rPr>
        <w:t>12h00</w:t>
      </w:r>
    </w:p>
    <w:p w14:paraId="7A88992F" w14:textId="77777777" w:rsidR="001314FE" w:rsidRPr="00D12B8D" w:rsidRDefault="00EE454F">
      <w:pPr>
        <w:spacing w:after="100" w:line="252" w:lineRule="auto"/>
        <w:rPr>
          <w:lang w:val="fr-FR"/>
        </w:rPr>
      </w:pPr>
      <w:r w:rsidRPr="00D12B8D">
        <w:rPr>
          <w:lang w:val="fr-FR"/>
        </w:rPr>
        <w:t xml:space="preserve">Les dossiers devront être transmis sous forme dématérialisée </w:t>
      </w:r>
      <w:r w:rsidRPr="00B948B8">
        <w:rPr>
          <w:b/>
          <w:bCs/>
          <w:u w:val="single"/>
          <w:lang w:val="fr-FR"/>
        </w:rPr>
        <w:t>via la plateforme Mégalis Bretagne</w:t>
      </w:r>
      <w:r w:rsidRPr="00D12B8D">
        <w:rPr>
          <w:lang w:val="fr-FR"/>
        </w:rPr>
        <w:t>. Les propositions déposées après la date et l’heure limites ne pourront pas être prises en compte.</w:t>
      </w:r>
    </w:p>
    <w:p w14:paraId="65699662" w14:textId="77777777" w:rsidR="001314FE" w:rsidRPr="00D12B8D" w:rsidRDefault="00EE454F">
      <w:pPr>
        <w:spacing w:after="100" w:line="252" w:lineRule="auto"/>
        <w:rPr>
          <w:lang w:val="fr-FR"/>
        </w:rPr>
      </w:pPr>
      <w:r w:rsidRPr="00D12B8D">
        <w:rPr>
          <w:lang w:val="fr-FR"/>
        </w:rPr>
        <w:t>Le délai de validité des propositions est fixé à 180 jours à compter de la date limite de réception des propositions.</w:t>
      </w:r>
    </w:p>
    <w:p w14:paraId="1EBB269D" w14:textId="77777777" w:rsidR="001314FE" w:rsidRPr="00D12B8D" w:rsidRDefault="00EE454F">
      <w:pPr>
        <w:pStyle w:val="Titre1"/>
        <w:rPr>
          <w:lang w:val="fr-FR"/>
        </w:rPr>
      </w:pPr>
      <w:r w:rsidRPr="00D12B8D">
        <w:rPr>
          <w:lang w:val="fr-FR"/>
        </w:rPr>
        <w:lastRenderedPageBreak/>
        <w:t>6. QUESTIONS ET ÉCHANGES AVEC LES CANDIDATS</w:t>
      </w:r>
    </w:p>
    <w:p w14:paraId="0CC515ED" w14:textId="77777777" w:rsidR="001314FE" w:rsidRPr="00D12B8D" w:rsidRDefault="00EE454F">
      <w:pPr>
        <w:spacing w:after="100" w:line="252" w:lineRule="auto"/>
        <w:rPr>
          <w:lang w:val="fr-FR"/>
        </w:rPr>
      </w:pPr>
      <w:r w:rsidRPr="00D12B8D">
        <w:rPr>
          <w:lang w:val="fr-FR"/>
        </w:rPr>
        <w:t>Les candidats pourront adresser leurs questions par l’intermédiaire de la plateforme de dématérialisation jusqu’à la date fixée par la Commune. Les réponses présentant un intérêt pour l’ensemble des candidats seront communiquées dans des conditions identiques.</w:t>
      </w:r>
    </w:p>
    <w:p w14:paraId="7FE6E41C" w14:textId="23A9F33B" w:rsidR="001314FE" w:rsidRPr="00D12B8D" w:rsidRDefault="00EE454F">
      <w:pPr>
        <w:spacing w:after="80"/>
        <w:rPr>
          <w:lang w:val="fr-FR"/>
        </w:rPr>
      </w:pPr>
      <w:r w:rsidRPr="00D12B8D">
        <w:rPr>
          <w:b/>
          <w:lang w:val="fr-FR"/>
        </w:rPr>
        <w:t xml:space="preserve">Date limite pour les questions : </w:t>
      </w:r>
      <w:r w:rsidR="005E56B6" w:rsidRPr="00B93FB9">
        <w:rPr>
          <w:b/>
          <w:color w:val="C0504D"/>
          <w:lang w:val="fr-FR"/>
        </w:rPr>
        <w:t>2</w:t>
      </w:r>
      <w:r w:rsidR="00B948B8">
        <w:rPr>
          <w:b/>
          <w:color w:val="C0504D"/>
          <w:lang w:val="fr-FR"/>
        </w:rPr>
        <w:t>2</w:t>
      </w:r>
      <w:r w:rsidR="005E56B6" w:rsidRPr="00B93FB9">
        <w:rPr>
          <w:b/>
          <w:color w:val="C0504D"/>
          <w:lang w:val="fr-FR"/>
        </w:rPr>
        <w:t xml:space="preserve"> octobre 2026 à 12h</w:t>
      </w:r>
    </w:p>
    <w:p w14:paraId="0D8FD2B0" w14:textId="77777777" w:rsidR="001314FE" w:rsidRPr="00D12B8D" w:rsidRDefault="00EE454F">
      <w:pPr>
        <w:pStyle w:val="Titre1"/>
        <w:rPr>
          <w:lang w:val="fr-FR"/>
        </w:rPr>
      </w:pPr>
      <w:r w:rsidRPr="00D12B8D">
        <w:rPr>
          <w:lang w:val="fr-FR"/>
        </w:rPr>
        <w:t>7. FRAIS ENGAGÉS PAR LES CANDIDATS</w:t>
      </w:r>
    </w:p>
    <w:p w14:paraId="6192686D" w14:textId="77777777" w:rsidR="001314FE" w:rsidRPr="00D12B8D" w:rsidRDefault="00EE454F">
      <w:pPr>
        <w:spacing w:after="100" w:line="252" w:lineRule="auto"/>
        <w:rPr>
          <w:lang w:val="fr-FR"/>
        </w:rPr>
      </w:pPr>
      <w:r w:rsidRPr="00D12B8D">
        <w:rPr>
          <w:lang w:val="fr-FR"/>
        </w:rPr>
        <w:t>Les frais engagés par les candidats pour la préparation, la remise et, le cas échéant, la présentation de leur proposition restent intégralement à leur charge. Aucune indemnité ne sera versée par la Commune, y compris en cas d’abandon, de suspension ou de déclaration sans suite de la procédure.</w:t>
      </w:r>
    </w:p>
    <w:p w14:paraId="48BD0A2B" w14:textId="77777777" w:rsidR="001314FE" w:rsidRPr="00D12B8D" w:rsidRDefault="00EE454F">
      <w:pPr>
        <w:pStyle w:val="Titre1"/>
        <w:rPr>
          <w:lang w:val="fr-FR"/>
        </w:rPr>
      </w:pPr>
      <w:r w:rsidRPr="00D12B8D">
        <w:rPr>
          <w:lang w:val="fr-FR"/>
        </w:rPr>
        <w:t>8. CONFIDENTIALITÉ</w:t>
      </w:r>
    </w:p>
    <w:p w14:paraId="173BF508" w14:textId="77777777" w:rsidR="001314FE" w:rsidRPr="00D12B8D" w:rsidRDefault="00EE454F">
      <w:pPr>
        <w:spacing w:after="100" w:line="252" w:lineRule="auto"/>
        <w:rPr>
          <w:lang w:val="fr-FR"/>
        </w:rPr>
      </w:pPr>
      <w:r w:rsidRPr="00D12B8D">
        <w:rPr>
          <w:lang w:val="fr-FR"/>
        </w:rPr>
        <w:t>Les candidats sont tenus à une obligation de confidentialité concernant les informations qui leur seraient communiquées dans le cadre de la présente consultation et expressément présentées comme confidentielles. Ils pourront identifier dans leur proposition les éléments qu’ils considèrent comme relevant du secret des affaires.</w:t>
      </w:r>
    </w:p>
    <w:p w14:paraId="7233EC79" w14:textId="77777777" w:rsidR="001314FE" w:rsidRPr="00D12B8D" w:rsidRDefault="00EE454F">
      <w:pPr>
        <w:pStyle w:val="Titre1"/>
        <w:rPr>
          <w:lang w:val="fr-FR"/>
        </w:rPr>
      </w:pPr>
      <w:r w:rsidRPr="00D12B8D">
        <w:rPr>
          <w:lang w:val="fr-FR"/>
        </w:rPr>
        <w:t>9. AUTORISATION D’OCCUPATION DU DOMAINE PUBLIC</w:t>
      </w:r>
    </w:p>
    <w:p w14:paraId="4D03E37B" w14:textId="77777777" w:rsidR="001314FE" w:rsidRPr="00D12B8D" w:rsidRDefault="00EE454F">
      <w:pPr>
        <w:spacing w:after="100" w:line="252" w:lineRule="auto"/>
        <w:rPr>
          <w:lang w:val="fr-FR"/>
        </w:rPr>
      </w:pPr>
      <w:r w:rsidRPr="00D12B8D">
        <w:rPr>
          <w:lang w:val="fr-FR"/>
        </w:rPr>
        <w:t>Le candidat retenu conclura avec la Commune d’Erquy une convention d’occupation temporaire du domaine public précisant notamment les emplacements concernés, le nombre et les caractéristiques des équipements, les conditions d’installation, la durée de l’autorisation, la redevance, les responsabilités de l’opérateur, les obligations d’entretien et de maintenance, les conditions de modification ou d’extension, les obligations de reporting, les conditions de résiliation, de démontage et de remise en état.</w:t>
      </w:r>
    </w:p>
    <w:p w14:paraId="293AB389" w14:textId="77777777" w:rsidR="001314FE" w:rsidRPr="00D12B8D" w:rsidRDefault="00EE454F">
      <w:pPr>
        <w:pStyle w:val="Titre1"/>
        <w:rPr>
          <w:lang w:val="fr-FR"/>
        </w:rPr>
      </w:pPr>
      <w:r w:rsidRPr="00D12B8D">
        <w:rPr>
          <w:lang w:val="fr-FR"/>
        </w:rPr>
        <w:t>10. RECOURS</w:t>
      </w:r>
    </w:p>
    <w:p w14:paraId="4C065E0B" w14:textId="77777777" w:rsidR="001314FE" w:rsidRPr="00D12B8D" w:rsidRDefault="00EE454F">
      <w:pPr>
        <w:spacing w:after="100" w:line="252" w:lineRule="auto"/>
        <w:rPr>
          <w:lang w:val="fr-FR"/>
        </w:rPr>
      </w:pPr>
      <w:r w:rsidRPr="00D12B8D">
        <w:rPr>
          <w:lang w:val="fr-FR"/>
        </w:rPr>
        <w:t>L’instance compétente pour les procédures de recours est :</w:t>
      </w:r>
    </w:p>
    <w:p w14:paraId="2B52AC95" w14:textId="77777777" w:rsidR="001314FE" w:rsidRPr="00D12B8D" w:rsidRDefault="00EE454F">
      <w:pPr>
        <w:spacing w:after="100" w:line="252" w:lineRule="auto"/>
        <w:rPr>
          <w:lang w:val="fr-FR"/>
        </w:rPr>
      </w:pPr>
      <w:r w:rsidRPr="00D12B8D">
        <w:rPr>
          <w:lang w:val="fr-FR"/>
        </w:rPr>
        <w:t>Tribunal administratif de Rennes</w:t>
      </w:r>
      <w:r w:rsidRPr="00D12B8D">
        <w:rPr>
          <w:lang w:val="fr-FR"/>
        </w:rPr>
        <w:br/>
        <w:t>3 Contour de la Motte – CS 44416</w:t>
      </w:r>
      <w:r w:rsidRPr="00D12B8D">
        <w:rPr>
          <w:lang w:val="fr-FR"/>
        </w:rPr>
        <w:br/>
        <w:t>35044 RENNES CEDEX</w:t>
      </w:r>
      <w:r w:rsidRPr="00D12B8D">
        <w:rPr>
          <w:lang w:val="fr-FR"/>
        </w:rPr>
        <w:br/>
        <w:t>Téléphone : 02 23 21 28 28</w:t>
      </w:r>
      <w:r w:rsidRPr="00D12B8D">
        <w:rPr>
          <w:lang w:val="fr-FR"/>
        </w:rPr>
        <w:br/>
        <w:t>Courriel : greffe.ta-rennes@juradm.fr</w:t>
      </w:r>
    </w:p>
    <w:sectPr w:rsidR="001314FE" w:rsidRPr="00D12B8D" w:rsidSect="00034616">
      <w:headerReference w:type="default" r:id="rId9"/>
      <w:footerReference w:type="default" r:id="rId10"/>
      <w:pgSz w:w="12240" w:h="15840"/>
      <w:pgMar w:top="1020" w:right="1134" w:bottom="90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4107BE" w14:textId="77777777" w:rsidR="00A630B9" w:rsidRDefault="00A630B9">
      <w:pPr>
        <w:spacing w:after="0" w:line="240" w:lineRule="auto"/>
      </w:pPr>
      <w:r>
        <w:separator/>
      </w:r>
    </w:p>
  </w:endnote>
  <w:endnote w:type="continuationSeparator" w:id="0">
    <w:p w14:paraId="38630951" w14:textId="77777777" w:rsidR="00A630B9" w:rsidRDefault="00A630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5F4A23" w14:textId="77777777" w:rsidR="001314FE" w:rsidRDefault="00EE454F">
    <w:pPr>
      <w:pStyle w:val="Pieddepage"/>
      <w:jc w:val="center"/>
    </w:pPr>
    <w:r>
      <w:rPr>
        <w:color w:val="6E6E6E"/>
        <w:sz w:val="16"/>
      </w:rPr>
      <w:t>Règlement de consultation – Septembre 2026</w:t>
    </w:r>
  </w:p>
  <w:p w14:paraId="14ABF90F" w14:textId="77777777" w:rsidR="001314FE" w:rsidRDefault="00EE454F">
    <w:pPr>
      <w:jc w:val="right"/>
    </w:pPr>
    <w:r>
      <w:rPr>
        <w:sz w:val="16"/>
      </w:rPr>
      <w:t xml:space="preserve">Page </w:t>
    </w:r>
    <w:r>
      <w:rPr>
        <w:sz w:val="16"/>
      </w:rPr>
      <w:fldChar w:fldCharType="begin"/>
    </w:r>
    <w:r>
      <w:rPr>
        <w:sz w:val="16"/>
      </w:rPr>
      <w:instrText>PAGE</w:instrText>
    </w:r>
    <w:r>
      <w:rPr>
        <w:sz w:val="16"/>
      </w:rPr>
      <w:fldChar w:fldCharType="separate"/>
    </w:r>
    <w:r w:rsidR="00722044">
      <w:rPr>
        <w:noProof/>
        <w:sz w:val="16"/>
      </w:rPr>
      <w:t>1</w:t>
    </w:r>
    <w:r>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A04F4F" w14:textId="77777777" w:rsidR="00A630B9" w:rsidRDefault="00A630B9">
      <w:pPr>
        <w:spacing w:after="0" w:line="240" w:lineRule="auto"/>
      </w:pPr>
      <w:r>
        <w:separator/>
      </w:r>
    </w:p>
  </w:footnote>
  <w:footnote w:type="continuationSeparator" w:id="0">
    <w:p w14:paraId="4A88E4E3" w14:textId="77777777" w:rsidR="00A630B9" w:rsidRDefault="00A630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AD205" w14:textId="77777777" w:rsidR="001314FE" w:rsidRDefault="00EE454F">
    <w:pPr>
      <w:pStyle w:val="En-tte"/>
      <w:jc w:val="right"/>
    </w:pPr>
    <w:r>
      <w:rPr>
        <w:color w:val="646464"/>
        <w:sz w:val="17"/>
      </w:rPr>
      <w:t>COMMUNE D’ERQUY | AMI IRVE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puce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puce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puces"/>
      <w:lvlText w:val=""/>
      <w:lvlJc w:val="left"/>
      <w:pPr>
        <w:tabs>
          <w:tab w:val="num" w:pos="360"/>
        </w:tabs>
        <w:ind w:left="360" w:hanging="360"/>
      </w:pPr>
      <w:rPr>
        <w:rFonts w:ascii="Symbol" w:hAnsi="Symbol" w:hint="default"/>
      </w:rPr>
    </w:lvl>
  </w:abstractNum>
  <w:abstractNum w:abstractNumId="9" w15:restartNumberingAfterBreak="0">
    <w:nsid w:val="0366014C"/>
    <w:multiLevelType w:val="multilevel"/>
    <w:tmpl w:val="BA0E2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653114"/>
    <w:multiLevelType w:val="multilevel"/>
    <w:tmpl w:val="18B40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DC563DC"/>
    <w:multiLevelType w:val="multilevel"/>
    <w:tmpl w:val="506811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5191965"/>
    <w:multiLevelType w:val="multilevel"/>
    <w:tmpl w:val="E772B0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55750E7"/>
    <w:multiLevelType w:val="multilevel"/>
    <w:tmpl w:val="D80006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A540EAA"/>
    <w:multiLevelType w:val="multilevel"/>
    <w:tmpl w:val="690A06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0D5C00"/>
    <w:multiLevelType w:val="multilevel"/>
    <w:tmpl w:val="7EB08A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0B46C65"/>
    <w:multiLevelType w:val="multilevel"/>
    <w:tmpl w:val="438CAE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3566A0E"/>
    <w:multiLevelType w:val="multilevel"/>
    <w:tmpl w:val="BDF6FE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4AF3451"/>
    <w:multiLevelType w:val="multilevel"/>
    <w:tmpl w:val="AF90CD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D284B2D"/>
    <w:multiLevelType w:val="multilevel"/>
    <w:tmpl w:val="938C0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EC2942"/>
    <w:multiLevelType w:val="multilevel"/>
    <w:tmpl w:val="EEFCF6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CE7421C"/>
    <w:multiLevelType w:val="multilevel"/>
    <w:tmpl w:val="EE3656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039270A"/>
    <w:multiLevelType w:val="multilevel"/>
    <w:tmpl w:val="B52AB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653B5869"/>
    <w:multiLevelType w:val="multilevel"/>
    <w:tmpl w:val="E33E81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C1A6310"/>
    <w:multiLevelType w:val="multilevel"/>
    <w:tmpl w:val="57AA69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E1F7BEE"/>
    <w:multiLevelType w:val="multilevel"/>
    <w:tmpl w:val="45842E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40125F8"/>
    <w:multiLevelType w:val="multilevel"/>
    <w:tmpl w:val="ACCEF9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55866180">
    <w:abstractNumId w:val="8"/>
  </w:num>
  <w:num w:numId="2" w16cid:durableId="1145467714">
    <w:abstractNumId w:val="6"/>
  </w:num>
  <w:num w:numId="3" w16cid:durableId="46030593">
    <w:abstractNumId w:val="5"/>
  </w:num>
  <w:num w:numId="4" w16cid:durableId="1331592332">
    <w:abstractNumId w:val="4"/>
  </w:num>
  <w:num w:numId="5" w16cid:durableId="1447389368">
    <w:abstractNumId w:val="7"/>
  </w:num>
  <w:num w:numId="6" w16cid:durableId="1483237494">
    <w:abstractNumId w:val="3"/>
  </w:num>
  <w:num w:numId="7" w16cid:durableId="964241678">
    <w:abstractNumId w:val="2"/>
  </w:num>
  <w:num w:numId="8" w16cid:durableId="2111657105">
    <w:abstractNumId w:val="1"/>
  </w:num>
  <w:num w:numId="9" w16cid:durableId="84034297">
    <w:abstractNumId w:val="0"/>
  </w:num>
  <w:num w:numId="10" w16cid:durableId="916398642">
    <w:abstractNumId w:val="24"/>
  </w:num>
  <w:num w:numId="11" w16cid:durableId="53506972">
    <w:abstractNumId w:val="9"/>
  </w:num>
  <w:num w:numId="12" w16cid:durableId="675426276">
    <w:abstractNumId w:val="10"/>
  </w:num>
  <w:num w:numId="13" w16cid:durableId="1167985353">
    <w:abstractNumId w:val="25"/>
  </w:num>
  <w:num w:numId="14" w16cid:durableId="1272081255">
    <w:abstractNumId w:val="23"/>
  </w:num>
  <w:num w:numId="15" w16cid:durableId="1759407076">
    <w:abstractNumId w:val="12"/>
  </w:num>
  <w:num w:numId="16" w16cid:durableId="833882270">
    <w:abstractNumId w:val="22"/>
  </w:num>
  <w:num w:numId="17" w16cid:durableId="1813906747">
    <w:abstractNumId w:val="16"/>
  </w:num>
  <w:num w:numId="18" w16cid:durableId="989749592">
    <w:abstractNumId w:val="20"/>
  </w:num>
  <w:num w:numId="19" w16cid:durableId="36320121">
    <w:abstractNumId w:val="17"/>
  </w:num>
  <w:num w:numId="20" w16cid:durableId="900597364">
    <w:abstractNumId w:val="21"/>
  </w:num>
  <w:num w:numId="21" w16cid:durableId="1578055814">
    <w:abstractNumId w:val="19"/>
  </w:num>
  <w:num w:numId="22" w16cid:durableId="935475902">
    <w:abstractNumId w:val="14"/>
  </w:num>
  <w:num w:numId="23" w16cid:durableId="426538398">
    <w:abstractNumId w:val="15"/>
  </w:num>
  <w:num w:numId="24" w16cid:durableId="1281104892">
    <w:abstractNumId w:val="26"/>
  </w:num>
  <w:num w:numId="25" w16cid:durableId="2071032926">
    <w:abstractNumId w:val="18"/>
  </w:num>
  <w:num w:numId="26" w16cid:durableId="761147448">
    <w:abstractNumId w:val="11"/>
  </w:num>
  <w:num w:numId="27" w16cid:durableId="177112066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72B4D"/>
    <w:rsid w:val="000A10D9"/>
    <w:rsid w:val="001314FE"/>
    <w:rsid w:val="0015074B"/>
    <w:rsid w:val="0022727E"/>
    <w:rsid w:val="002858F9"/>
    <w:rsid w:val="0029639D"/>
    <w:rsid w:val="00326F90"/>
    <w:rsid w:val="00330339"/>
    <w:rsid w:val="003515F0"/>
    <w:rsid w:val="003601A1"/>
    <w:rsid w:val="003E754E"/>
    <w:rsid w:val="004B67B7"/>
    <w:rsid w:val="004C36E8"/>
    <w:rsid w:val="004D4D26"/>
    <w:rsid w:val="004E3008"/>
    <w:rsid w:val="00530892"/>
    <w:rsid w:val="005E56B6"/>
    <w:rsid w:val="00623B2F"/>
    <w:rsid w:val="006259B9"/>
    <w:rsid w:val="00722044"/>
    <w:rsid w:val="00787F3F"/>
    <w:rsid w:val="008A0158"/>
    <w:rsid w:val="00A630B9"/>
    <w:rsid w:val="00AA1D8D"/>
    <w:rsid w:val="00B47730"/>
    <w:rsid w:val="00B81E8D"/>
    <w:rsid w:val="00B93FB9"/>
    <w:rsid w:val="00B948B8"/>
    <w:rsid w:val="00CB0664"/>
    <w:rsid w:val="00D12B8D"/>
    <w:rsid w:val="00DD5B08"/>
    <w:rsid w:val="00DE5449"/>
    <w:rsid w:val="00E00227"/>
    <w:rsid w:val="00E16ECA"/>
    <w:rsid w:val="00EE454F"/>
    <w:rsid w:val="00FA0D9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58F407"/>
  <w14:defaultImageDpi w14:val="300"/>
  <w15:docId w15:val="{1C7D1EB2-DCB5-4911-B508-0332F9E2F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Titre1">
    <w:name w:val="heading 1"/>
    <w:basedOn w:val="Normal"/>
    <w:next w:val="Normal"/>
    <w:link w:val="Titre1Car"/>
    <w:uiPriority w:val="9"/>
    <w:qFormat/>
    <w:rsid w:val="00FC693F"/>
    <w:pPr>
      <w:keepNext/>
      <w:keepLines/>
      <w:spacing w:before="480" w:after="0"/>
      <w:outlineLvl w:val="0"/>
    </w:pPr>
    <w:rPr>
      <w:rFonts w:asciiTheme="majorHAnsi" w:eastAsiaTheme="majorEastAsia" w:hAnsiTheme="majorHAnsi" w:cstheme="majorBidi"/>
      <w:b/>
      <w:bCs/>
      <w:color w:val="1F4E79"/>
      <w:sz w:val="30"/>
      <w:szCs w:val="28"/>
    </w:rPr>
  </w:style>
  <w:style w:type="paragraph" w:styleId="Titre2">
    <w:name w:val="heading 2"/>
    <w:basedOn w:val="Normal"/>
    <w:next w:val="Normal"/>
    <w:link w:val="Titre2Car"/>
    <w:uiPriority w:val="9"/>
    <w:unhideWhenUsed/>
    <w:qFormat/>
    <w:rsid w:val="00FC693F"/>
    <w:pPr>
      <w:keepNext/>
      <w:keepLines/>
      <w:spacing w:before="200" w:after="0"/>
      <w:outlineLvl w:val="1"/>
    </w:pPr>
    <w:rPr>
      <w:rFonts w:asciiTheme="majorHAnsi" w:eastAsiaTheme="majorEastAsia" w:hAnsiTheme="majorHAnsi" w:cstheme="majorBidi"/>
      <w:b/>
      <w:bCs/>
      <w:color w:val="2F5597"/>
      <w:sz w:val="24"/>
      <w:szCs w:val="26"/>
    </w:rPr>
  </w:style>
  <w:style w:type="paragraph" w:styleId="Titre3">
    <w:name w:val="heading 3"/>
    <w:basedOn w:val="Normal"/>
    <w:next w:val="Normal"/>
    <w:link w:val="Titre3Car"/>
    <w:uiPriority w:val="9"/>
    <w:unhideWhenUsed/>
    <w:qFormat/>
    <w:rsid w:val="00FC693F"/>
    <w:pPr>
      <w:keepNext/>
      <w:keepLines/>
      <w:spacing w:before="200" w:after="0"/>
      <w:outlineLvl w:val="2"/>
    </w:pPr>
    <w:rPr>
      <w:rFonts w:asciiTheme="majorHAnsi" w:eastAsiaTheme="majorEastAsia" w:hAnsiTheme="majorHAnsi" w:cstheme="majorBidi"/>
      <w:b/>
      <w:bCs/>
      <w:color w:val="404040"/>
      <w:sz w:val="22"/>
    </w:rPr>
  </w:style>
  <w:style w:type="paragraph" w:styleId="Titre4">
    <w:name w:val="heading 4"/>
    <w:basedOn w:val="Normal"/>
    <w:next w:val="Normal"/>
    <w:link w:val="Titre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itre5">
    <w:name w:val="heading 5"/>
    <w:basedOn w:val="Normal"/>
    <w:next w:val="Normal"/>
    <w:link w:val="Titre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itre6">
    <w:name w:val="heading 6"/>
    <w:basedOn w:val="Normal"/>
    <w:next w:val="Normal"/>
    <w:link w:val="Titre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itre7">
    <w:name w:val="heading 7"/>
    <w:basedOn w:val="Normal"/>
    <w:next w:val="Normal"/>
    <w:link w:val="Titre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itre8">
    <w:name w:val="heading 8"/>
    <w:basedOn w:val="Normal"/>
    <w:next w:val="Normal"/>
    <w:link w:val="Titre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itre9">
    <w:name w:val="heading 9"/>
    <w:basedOn w:val="Normal"/>
    <w:next w:val="Normal"/>
    <w:link w:val="Titre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E618BF"/>
    <w:pPr>
      <w:tabs>
        <w:tab w:val="center" w:pos="4680"/>
        <w:tab w:val="right" w:pos="9360"/>
      </w:tabs>
      <w:spacing w:after="0" w:line="240" w:lineRule="auto"/>
    </w:pPr>
  </w:style>
  <w:style w:type="character" w:customStyle="1" w:styleId="En-tteCar">
    <w:name w:val="En-tête Car"/>
    <w:basedOn w:val="Policepardfaut"/>
    <w:link w:val="En-tte"/>
    <w:uiPriority w:val="99"/>
    <w:rsid w:val="00E618BF"/>
  </w:style>
  <w:style w:type="paragraph" w:styleId="Pieddepage">
    <w:name w:val="footer"/>
    <w:basedOn w:val="Normal"/>
    <w:link w:val="PieddepageCar"/>
    <w:uiPriority w:val="99"/>
    <w:unhideWhenUsed/>
    <w:rsid w:val="00E618BF"/>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E618BF"/>
  </w:style>
  <w:style w:type="paragraph" w:styleId="Sansinterligne">
    <w:name w:val="No Spacing"/>
    <w:uiPriority w:val="1"/>
    <w:qFormat/>
    <w:rsid w:val="00FC693F"/>
    <w:pPr>
      <w:spacing w:after="0" w:line="240" w:lineRule="auto"/>
    </w:pPr>
  </w:style>
  <w:style w:type="character" w:customStyle="1" w:styleId="Titre1Car">
    <w:name w:val="Titre 1 Car"/>
    <w:basedOn w:val="Policepardfaut"/>
    <w:link w:val="Titre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itre2Car">
    <w:name w:val="Titre 2 Car"/>
    <w:basedOn w:val="Policepardfaut"/>
    <w:link w:val="Titre2"/>
    <w:uiPriority w:val="9"/>
    <w:rsid w:val="00FC693F"/>
    <w:rPr>
      <w:rFonts w:asciiTheme="majorHAnsi" w:eastAsiaTheme="majorEastAsia" w:hAnsiTheme="majorHAnsi" w:cstheme="majorBidi"/>
      <w:b/>
      <w:bCs/>
      <w:color w:val="4F81BD" w:themeColor="accent1"/>
      <w:sz w:val="26"/>
      <w:szCs w:val="26"/>
    </w:rPr>
  </w:style>
  <w:style w:type="character" w:customStyle="1" w:styleId="Titre3Car">
    <w:name w:val="Titre 3 Car"/>
    <w:basedOn w:val="Policepardfaut"/>
    <w:link w:val="Titre3"/>
    <w:uiPriority w:val="9"/>
    <w:rsid w:val="00FC693F"/>
    <w:rPr>
      <w:rFonts w:asciiTheme="majorHAnsi" w:eastAsiaTheme="majorEastAsia" w:hAnsiTheme="majorHAnsi" w:cstheme="majorBidi"/>
      <w:b/>
      <w:bCs/>
      <w:color w:val="4F81BD" w:themeColor="accent1"/>
    </w:rPr>
  </w:style>
  <w:style w:type="paragraph" w:styleId="Titre">
    <w:name w:val="Title"/>
    <w:basedOn w:val="Normal"/>
    <w:next w:val="Normal"/>
    <w:link w:val="Titre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4"/>
      <w:szCs w:val="52"/>
    </w:rPr>
  </w:style>
  <w:style w:type="character" w:customStyle="1" w:styleId="TitreCar">
    <w:name w:val="Titre Car"/>
    <w:basedOn w:val="Policepardfaut"/>
    <w:link w:val="Titr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ous-titre">
    <w:name w:val="Subtitle"/>
    <w:basedOn w:val="Normal"/>
    <w:next w:val="Normal"/>
    <w:link w:val="Sous-titre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FC693F"/>
    <w:rPr>
      <w:rFonts w:asciiTheme="majorHAnsi" w:eastAsiaTheme="majorEastAsia" w:hAnsiTheme="majorHAnsi" w:cstheme="majorBidi"/>
      <w:i/>
      <w:iCs/>
      <w:color w:val="4F81BD" w:themeColor="accent1"/>
      <w:spacing w:val="15"/>
      <w:sz w:val="24"/>
      <w:szCs w:val="24"/>
    </w:rPr>
  </w:style>
  <w:style w:type="paragraph" w:styleId="Paragraphedeliste">
    <w:name w:val="List Paragraph"/>
    <w:basedOn w:val="Normal"/>
    <w:uiPriority w:val="34"/>
    <w:qFormat/>
    <w:rsid w:val="00FC693F"/>
    <w:pPr>
      <w:ind w:left="720"/>
      <w:contextualSpacing/>
    </w:pPr>
  </w:style>
  <w:style w:type="paragraph" w:styleId="Corpsdetexte">
    <w:name w:val="Body Text"/>
    <w:basedOn w:val="Normal"/>
    <w:link w:val="CorpsdetexteCar"/>
    <w:uiPriority w:val="99"/>
    <w:unhideWhenUsed/>
    <w:rsid w:val="00AA1D8D"/>
    <w:pPr>
      <w:spacing w:after="120"/>
    </w:pPr>
  </w:style>
  <w:style w:type="character" w:customStyle="1" w:styleId="CorpsdetexteCar">
    <w:name w:val="Corps de texte Car"/>
    <w:basedOn w:val="Policepardfaut"/>
    <w:link w:val="Corpsdetexte"/>
    <w:uiPriority w:val="99"/>
    <w:rsid w:val="00AA1D8D"/>
  </w:style>
  <w:style w:type="paragraph" w:styleId="Corpsdetexte2">
    <w:name w:val="Body Text 2"/>
    <w:basedOn w:val="Normal"/>
    <w:link w:val="Corpsdetexte2Car"/>
    <w:uiPriority w:val="99"/>
    <w:unhideWhenUsed/>
    <w:rsid w:val="00AA1D8D"/>
    <w:pPr>
      <w:spacing w:after="120" w:line="480" w:lineRule="auto"/>
    </w:pPr>
  </w:style>
  <w:style w:type="character" w:customStyle="1" w:styleId="Corpsdetexte2Car">
    <w:name w:val="Corps de texte 2 Car"/>
    <w:basedOn w:val="Policepardfaut"/>
    <w:link w:val="Corpsdetexte2"/>
    <w:uiPriority w:val="99"/>
    <w:rsid w:val="00AA1D8D"/>
  </w:style>
  <w:style w:type="paragraph" w:styleId="Corpsdetexte3">
    <w:name w:val="Body Text 3"/>
    <w:basedOn w:val="Normal"/>
    <w:link w:val="Corpsdetexte3Car"/>
    <w:uiPriority w:val="99"/>
    <w:unhideWhenUsed/>
    <w:rsid w:val="00AA1D8D"/>
    <w:pPr>
      <w:spacing w:after="120"/>
    </w:pPr>
    <w:rPr>
      <w:sz w:val="16"/>
      <w:szCs w:val="16"/>
    </w:rPr>
  </w:style>
  <w:style w:type="character" w:customStyle="1" w:styleId="Corpsdetexte3Car">
    <w:name w:val="Corps de texte 3 Car"/>
    <w:basedOn w:val="Policepardfaut"/>
    <w:link w:val="Corpsdetexte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puces">
    <w:name w:val="List Bullet"/>
    <w:basedOn w:val="Normal"/>
    <w:uiPriority w:val="99"/>
    <w:unhideWhenUsed/>
    <w:rsid w:val="00326F90"/>
    <w:pPr>
      <w:numPr>
        <w:numId w:val="1"/>
      </w:numPr>
      <w:contextualSpacing/>
    </w:pPr>
  </w:style>
  <w:style w:type="paragraph" w:styleId="Listepuces2">
    <w:name w:val="List Bullet 2"/>
    <w:basedOn w:val="Normal"/>
    <w:uiPriority w:val="99"/>
    <w:unhideWhenUsed/>
    <w:rsid w:val="00326F90"/>
    <w:pPr>
      <w:numPr>
        <w:numId w:val="2"/>
      </w:numPr>
      <w:contextualSpacing/>
    </w:pPr>
  </w:style>
  <w:style w:type="paragraph" w:styleId="Listepuces3">
    <w:name w:val="List Bullet 3"/>
    <w:basedOn w:val="Normal"/>
    <w:uiPriority w:val="99"/>
    <w:unhideWhenUsed/>
    <w:rsid w:val="00326F90"/>
    <w:pPr>
      <w:numPr>
        <w:numId w:val="3"/>
      </w:numPr>
      <w:contextualSpacing/>
    </w:pPr>
  </w:style>
  <w:style w:type="paragraph" w:styleId="Listenumros">
    <w:name w:val="List Number"/>
    <w:basedOn w:val="Normal"/>
    <w:uiPriority w:val="99"/>
    <w:unhideWhenUsed/>
    <w:rsid w:val="00326F90"/>
    <w:pPr>
      <w:numPr>
        <w:numId w:val="5"/>
      </w:numPr>
      <w:contextualSpacing/>
    </w:pPr>
  </w:style>
  <w:style w:type="paragraph" w:styleId="Listenumros2">
    <w:name w:val="List Number 2"/>
    <w:basedOn w:val="Normal"/>
    <w:uiPriority w:val="99"/>
    <w:unhideWhenUsed/>
    <w:rsid w:val="0029639D"/>
    <w:pPr>
      <w:numPr>
        <w:numId w:val="6"/>
      </w:numPr>
      <w:contextualSpacing/>
    </w:pPr>
  </w:style>
  <w:style w:type="paragraph" w:styleId="Listenumros3">
    <w:name w:val="List Number 3"/>
    <w:basedOn w:val="Normal"/>
    <w:uiPriority w:val="99"/>
    <w:unhideWhenUsed/>
    <w:rsid w:val="0029639D"/>
    <w:pPr>
      <w:numPr>
        <w:numId w:val="7"/>
      </w:numPr>
      <w:contextualSpacing/>
    </w:pPr>
  </w:style>
  <w:style w:type="paragraph" w:styleId="Listecontinue">
    <w:name w:val="List Continue"/>
    <w:basedOn w:val="Normal"/>
    <w:uiPriority w:val="99"/>
    <w:unhideWhenUsed/>
    <w:rsid w:val="0029639D"/>
    <w:pPr>
      <w:spacing w:after="120"/>
      <w:ind w:left="360"/>
      <w:contextualSpacing/>
    </w:pPr>
  </w:style>
  <w:style w:type="paragraph" w:styleId="Listecontinue2">
    <w:name w:val="List Continue 2"/>
    <w:basedOn w:val="Normal"/>
    <w:uiPriority w:val="99"/>
    <w:unhideWhenUsed/>
    <w:rsid w:val="0029639D"/>
    <w:pPr>
      <w:spacing w:after="120"/>
      <w:ind w:left="720"/>
      <w:contextualSpacing/>
    </w:pPr>
  </w:style>
  <w:style w:type="paragraph" w:styleId="Listecontinue3">
    <w:name w:val="List Continue 3"/>
    <w:basedOn w:val="Normal"/>
    <w:uiPriority w:val="99"/>
    <w:unhideWhenUsed/>
    <w:rsid w:val="0029639D"/>
    <w:pPr>
      <w:spacing w:after="120"/>
      <w:ind w:left="1080"/>
      <w:contextualSpacing/>
    </w:pPr>
  </w:style>
  <w:style w:type="paragraph" w:styleId="Textedemacro">
    <w:name w:val="macro"/>
    <w:link w:val="Textede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edemacroCar">
    <w:name w:val="Texte de macro Car"/>
    <w:basedOn w:val="Policepardfaut"/>
    <w:link w:val="Textedemacro"/>
    <w:uiPriority w:val="99"/>
    <w:rsid w:val="0029639D"/>
    <w:rPr>
      <w:rFonts w:ascii="Courier" w:hAnsi="Courier"/>
      <w:sz w:val="20"/>
      <w:szCs w:val="20"/>
    </w:rPr>
  </w:style>
  <w:style w:type="paragraph" w:styleId="Citation">
    <w:name w:val="Quote"/>
    <w:basedOn w:val="Normal"/>
    <w:next w:val="Normal"/>
    <w:link w:val="CitationCar"/>
    <w:uiPriority w:val="29"/>
    <w:qFormat/>
    <w:rsid w:val="00FC693F"/>
    <w:rPr>
      <w:i/>
      <w:iCs/>
      <w:color w:val="000000" w:themeColor="text1"/>
    </w:rPr>
  </w:style>
  <w:style w:type="character" w:customStyle="1" w:styleId="CitationCar">
    <w:name w:val="Citation Car"/>
    <w:basedOn w:val="Policepardfaut"/>
    <w:link w:val="Citation"/>
    <w:uiPriority w:val="29"/>
    <w:rsid w:val="00FC693F"/>
    <w:rPr>
      <w:i/>
      <w:iCs/>
      <w:color w:val="000000" w:themeColor="text1"/>
    </w:rPr>
  </w:style>
  <w:style w:type="character" w:customStyle="1" w:styleId="Titre4Car">
    <w:name w:val="Titre 4 Car"/>
    <w:basedOn w:val="Policepardfaut"/>
    <w:link w:val="Titre4"/>
    <w:uiPriority w:val="9"/>
    <w:semiHidden/>
    <w:rsid w:val="00FC693F"/>
    <w:rPr>
      <w:rFonts w:asciiTheme="majorHAnsi" w:eastAsiaTheme="majorEastAsia" w:hAnsiTheme="majorHAnsi" w:cstheme="majorBidi"/>
      <w:b/>
      <w:bCs/>
      <w:i/>
      <w:iCs/>
      <w:color w:val="4F81BD" w:themeColor="accent1"/>
    </w:rPr>
  </w:style>
  <w:style w:type="character" w:customStyle="1" w:styleId="Titre5Car">
    <w:name w:val="Titre 5 Car"/>
    <w:basedOn w:val="Policepardfaut"/>
    <w:link w:val="Titre5"/>
    <w:uiPriority w:val="9"/>
    <w:semiHidden/>
    <w:rsid w:val="00FC693F"/>
    <w:rPr>
      <w:rFonts w:asciiTheme="majorHAnsi" w:eastAsiaTheme="majorEastAsia" w:hAnsiTheme="majorHAnsi" w:cstheme="majorBidi"/>
      <w:color w:val="243F60" w:themeColor="accent1" w:themeShade="7F"/>
    </w:rPr>
  </w:style>
  <w:style w:type="character" w:customStyle="1" w:styleId="Titre6Car">
    <w:name w:val="Titre 6 Car"/>
    <w:basedOn w:val="Policepardfaut"/>
    <w:link w:val="Titre6"/>
    <w:uiPriority w:val="9"/>
    <w:semiHidden/>
    <w:rsid w:val="00FC693F"/>
    <w:rPr>
      <w:rFonts w:asciiTheme="majorHAnsi" w:eastAsiaTheme="majorEastAsia" w:hAnsiTheme="majorHAnsi" w:cstheme="majorBidi"/>
      <w:i/>
      <w:iCs/>
      <w:color w:val="243F60" w:themeColor="accent1" w:themeShade="7F"/>
    </w:rPr>
  </w:style>
  <w:style w:type="character" w:customStyle="1" w:styleId="Titre7Car">
    <w:name w:val="Titre 7 Car"/>
    <w:basedOn w:val="Policepardfaut"/>
    <w:link w:val="Titre7"/>
    <w:uiPriority w:val="9"/>
    <w:semiHidden/>
    <w:rsid w:val="00FC693F"/>
    <w:rPr>
      <w:rFonts w:asciiTheme="majorHAnsi" w:eastAsiaTheme="majorEastAsia" w:hAnsiTheme="majorHAnsi" w:cstheme="majorBidi"/>
      <w:i/>
      <w:iCs/>
      <w:color w:val="404040" w:themeColor="text1" w:themeTint="BF"/>
    </w:rPr>
  </w:style>
  <w:style w:type="character" w:customStyle="1" w:styleId="Titre8Car">
    <w:name w:val="Titre 8 Car"/>
    <w:basedOn w:val="Policepardfaut"/>
    <w:link w:val="Titre8"/>
    <w:uiPriority w:val="9"/>
    <w:semiHidden/>
    <w:rsid w:val="00FC693F"/>
    <w:rPr>
      <w:rFonts w:asciiTheme="majorHAnsi" w:eastAsiaTheme="majorEastAsia" w:hAnsiTheme="majorHAnsi" w:cstheme="majorBidi"/>
      <w:color w:val="4F81BD" w:themeColor="accent1"/>
      <w:sz w:val="20"/>
      <w:szCs w:val="20"/>
    </w:rPr>
  </w:style>
  <w:style w:type="character" w:customStyle="1" w:styleId="Titre9Car">
    <w:name w:val="Titre 9 Car"/>
    <w:basedOn w:val="Policepardfaut"/>
    <w:link w:val="Titre9"/>
    <w:uiPriority w:val="9"/>
    <w:semiHidden/>
    <w:rsid w:val="00FC693F"/>
    <w:rPr>
      <w:rFonts w:asciiTheme="majorHAnsi" w:eastAsiaTheme="majorEastAsia" w:hAnsiTheme="majorHAnsi" w:cstheme="majorBidi"/>
      <w:i/>
      <w:iCs/>
      <w:color w:val="404040" w:themeColor="text1" w:themeTint="BF"/>
      <w:sz w:val="20"/>
      <w:szCs w:val="20"/>
    </w:rPr>
  </w:style>
  <w:style w:type="paragraph" w:styleId="Lgende">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lev">
    <w:name w:val="Strong"/>
    <w:basedOn w:val="Policepardfaut"/>
    <w:uiPriority w:val="22"/>
    <w:qFormat/>
    <w:rsid w:val="00FC693F"/>
    <w:rPr>
      <w:b/>
      <w:bCs/>
    </w:rPr>
  </w:style>
  <w:style w:type="character" w:styleId="Accentuation">
    <w:name w:val="Emphasis"/>
    <w:basedOn w:val="Policepardfaut"/>
    <w:uiPriority w:val="20"/>
    <w:qFormat/>
    <w:rsid w:val="00FC693F"/>
    <w:rPr>
      <w:i/>
      <w:iCs/>
    </w:rPr>
  </w:style>
  <w:style w:type="paragraph" w:styleId="Citationintense">
    <w:name w:val="Intense Quote"/>
    <w:basedOn w:val="Normal"/>
    <w:next w:val="Normal"/>
    <w:link w:val="Citationintense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30"/>
    <w:rsid w:val="00FC693F"/>
    <w:rPr>
      <w:b/>
      <w:bCs/>
      <w:i/>
      <w:iCs/>
      <w:color w:val="4F81BD" w:themeColor="accent1"/>
    </w:rPr>
  </w:style>
  <w:style w:type="character" w:styleId="Accentuationlgre">
    <w:name w:val="Subtle Emphasis"/>
    <w:basedOn w:val="Policepardfaut"/>
    <w:uiPriority w:val="19"/>
    <w:qFormat/>
    <w:rsid w:val="00FC693F"/>
    <w:rPr>
      <w:i/>
      <w:iCs/>
      <w:color w:val="808080" w:themeColor="text1" w:themeTint="7F"/>
    </w:rPr>
  </w:style>
  <w:style w:type="character" w:styleId="Accentuationintense">
    <w:name w:val="Intense Emphasis"/>
    <w:basedOn w:val="Policepardfaut"/>
    <w:uiPriority w:val="21"/>
    <w:qFormat/>
    <w:rsid w:val="00FC693F"/>
    <w:rPr>
      <w:b/>
      <w:bCs/>
      <w:i/>
      <w:iCs/>
      <w:color w:val="4F81BD" w:themeColor="accent1"/>
    </w:rPr>
  </w:style>
  <w:style w:type="character" w:styleId="Rfrencelgre">
    <w:name w:val="Subtle Reference"/>
    <w:basedOn w:val="Policepardfaut"/>
    <w:uiPriority w:val="31"/>
    <w:qFormat/>
    <w:rsid w:val="00FC693F"/>
    <w:rPr>
      <w:smallCaps/>
      <w:color w:val="C0504D" w:themeColor="accent2"/>
      <w:u w:val="single"/>
    </w:rPr>
  </w:style>
  <w:style w:type="character" w:styleId="Rfrenceintense">
    <w:name w:val="Intense Reference"/>
    <w:basedOn w:val="Policepardfaut"/>
    <w:uiPriority w:val="32"/>
    <w:qFormat/>
    <w:rsid w:val="00FC693F"/>
    <w:rPr>
      <w:b/>
      <w:bCs/>
      <w:smallCaps/>
      <w:color w:val="C0504D" w:themeColor="accent2"/>
      <w:spacing w:val="5"/>
      <w:u w:val="single"/>
    </w:rPr>
  </w:style>
  <w:style w:type="character" w:styleId="Titredulivre">
    <w:name w:val="Book Title"/>
    <w:basedOn w:val="Policepardfaut"/>
    <w:uiPriority w:val="33"/>
    <w:qFormat/>
    <w:rsid w:val="00FC693F"/>
    <w:rPr>
      <w:b/>
      <w:bCs/>
      <w:smallCaps/>
      <w:spacing w:val="5"/>
    </w:rPr>
  </w:style>
  <w:style w:type="paragraph" w:styleId="En-ttedetabledesmatires">
    <w:name w:val="TOC Heading"/>
    <w:basedOn w:val="Titre1"/>
    <w:next w:val="Normal"/>
    <w:uiPriority w:val="39"/>
    <w:semiHidden/>
    <w:unhideWhenUsed/>
    <w:qFormat/>
    <w:rsid w:val="00FC693F"/>
    <w:pPr>
      <w:outlineLvl w:val="9"/>
    </w:pPr>
  </w:style>
  <w:style w:type="table" w:styleId="Grilledutableau">
    <w:name w:val="Table Grid"/>
    <w:basedOn w:val="Tableau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Ombrageclair">
    <w:name w:val="Light Shading"/>
    <w:basedOn w:val="Tableau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rameclaire-Accent1">
    <w:name w:val="Light Shading Accent 1"/>
    <w:basedOn w:val="Tableau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Trameclaire-Accent2">
    <w:name w:val="Light Shading Accent 2"/>
    <w:basedOn w:val="Tableau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Trameclaire-Accent3">
    <w:name w:val="Light Shading Accent 3"/>
    <w:basedOn w:val="Tableau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Trameclaire-Accent4">
    <w:name w:val="Light Shading Accent 4"/>
    <w:basedOn w:val="Tableau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Trameclaire-Accent5">
    <w:name w:val="Light Shading Accent 5"/>
    <w:basedOn w:val="Tableau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Trameclaire-Accent6">
    <w:name w:val="Light Shading Accent 6"/>
    <w:basedOn w:val="Tableau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eclaire">
    <w:name w:val="Light List"/>
    <w:basedOn w:val="Tableau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eclaire-Accent1">
    <w:name w:val="Light List Accent 1"/>
    <w:basedOn w:val="Tableau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eclaire-Accent2">
    <w:name w:val="Light List Accent 2"/>
    <w:basedOn w:val="Tableau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eclaire-Accent3">
    <w:name w:val="Light List Accent 3"/>
    <w:basedOn w:val="Tableau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eclaire-Accent4">
    <w:name w:val="Light List Accent 4"/>
    <w:basedOn w:val="Tableau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eclaire-Accent5">
    <w:name w:val="Light List Accent 5"/>
    <w:basedOn w:val="Tableau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eclaire-Accent6">
    <w:name w:val="Light List Accent 6"/>
    <w:basedOn w:val="Tableau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Grilleclaire">
    <w:name w:val="Light Grid"/>
    <w:basedOn w:val="Tableau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Grilleclaire-Accent1">
    <w:name w:val="Light Grid Accent 1"/>
    <w:basedOn w:val="Tableau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Grilleclaire-Accent2">
    <w:name w:val="Light Grid Accent 2"/>
    <w:basedOn w:val="Tableau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Grilleclaire-Accent3">
    <w:name w:val="Light Grid Accent 3"/>
    <w:basedOn w:val="Tableau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Grilleclaire-Accent4">
    <w:name w:val="Light Grid Accent 4"/>
    <w:basedOn w:val="Tableau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Grilleclaire-Accent5">
    <w:name w:val="Light Grid Accent 5"/>
    <w:basedOn w:val="Tableau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Grilleclaire-Accent6">
    <w:name w:val="Light Grid Accent 6"/>
    <w:basedOn w:val="Tableau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Tramemoyenne1">
    <w:name w:val="Medium Shading 1"/>
    <w:basedOn w:val="Tableau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Tramemoyenne2">
    <w:name w:val="Medium Shading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emoyenne1">
    <w:name w:val="Medium List 1"/>
    <w:basedOn w:val="Tableau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emoyenne1-Accent1">
    <w:name w:val="Medium List 1 Accent 1"/>
    <w:basedOn w:val="Tableau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emoyenne1-Accent2">
    <w:name w:val="Medium List 1 Accent 2"/>
    <w:basedOn w:val="Tableau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emoyenne1-Accent3">
    <w:name w:val="Medium List 1 Accent 3"/>
    <w:basedOn w:val="Tableau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emoyenne1-Accent4">
    <w:name w:val="Medium List 1 Accent 4"/>
    <w:basedOn w:val="Tableau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emoyenne1-Accent5">
    <w:name w:val="Medium List 1 Accent 5"/>
    <w:basedOn w:val="Tableau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emoyenne1-Accent6">
    <w:name w:val="Medium List 1 Accent 6"/>
    <w:basedOn w:val="Tableau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emoyenne2">
    <w:name w:val="Medium Lis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1">
    <w:name w:val="Medium List 2 Accent 1"/>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2">
    <w:name w:val="Medium List 2 Accent 2"/>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3">
    <w:name w:val="Medium List 2 Accent 3"/>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4">
    <w:name w:val="Medium List 2 Accent 4"/>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5">
    <w:name w:val="Medium List 2 Accent 5"/>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emoyenne2-Accent6">
    <w:name w:val="Medium List 2 Accent 6"/>
    <w:basedOn w:val="Tableau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rillemoyenne1">
    <w:name w:val="Medium Grid 1"/>
    <w:basedOn w:val="Tableau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moyenne1-Accent1">
    <w:name w:val="Medium Grid 1 Accent 1"/>
    <w:basedOn w:val="Tableau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moyenne1-Accent2">
    <w:name w:val="Medium Grid 1 Accent 2"/>
    <w:basedOn w:val="Tableau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moyenne1-Accent3">
    <w:name w:val="Medium Grid 1 Accent 3"/>
    <w:basedOn w:val="Tableau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moyenne1-Accent4">
    <w:name w:val="Medium Grid 1 Accent 4"/>
    <w:basedOn w:val="Tableau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moyenne1-Accent5">
    <w:name w:val="Medium Grid 1 Accent 5"/>
    <w:basedOn w:val="Tableau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moyenne1-Accent6">
    <w:name w:val="Medium Grid 1 Accent 6"/>
    <w:basedOn w:val="Tableau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llemoyenne2">
    <w:name w:val="Medium Grid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rillemoyenne2-Accent1">
    <w:name w:val="Medium Grid 2 Accent 1"/>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rillemoyenne2-Accent2">
    <w:name w:val="Medium Grid 2 Accent 2"/>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rillemoyenne2-Accent3">
    <w:name w:val="Medium Grid 2 Accent 3"/>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rillemoyenne2-Accent4">
    <w:name w:val="Medium Grid 2 Accent 4"/>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rillemoyenne2-Accent5">
    <w:name w:val="Medium Grid 2 Accent 5"/>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rillemoyenne2-Accent6">
    <w:name w:val="Medium Grid 2 Accent 6"/>
    <w:basedOn w:val="Tableau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rillemoyenne3">
    <w:name w:val="Medium Grid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rillemoyenne3-Accent1">
    <w:name w:val="Medium Grid 3 Accent 1"/>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rillemoyenne3-Accent2">
    <w:name w:val="Medium Grid 3 Accent 2"/>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rillemoyenne3-Accent3">
    <w:name w:val="Medium Grid 3 Accent 3"/>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rillemoyenne3-Accent4">
    <w:name w:val="Medium Grid 3 Accent 4"/>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rillemoyenne3-Accent5">
    <w:name w:val="Medium Grid 3 Accent 5"/>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rillemoyenne3-Accent6">
    <w:name w:val="Medium Grid 3 Accent 6"/>
    <w:basedOn w:val="Tableau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efonce">
    <w:name w:val="Dark List"/>
    <w:basedOn w:val="Tableau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efonce-Accent1">
    <w:name w:val="Dark List Accent 1"/>
    <w:basedOn w:val="Tableau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efonce-Accent2">
    <w:name w:val="Dark List Accent 2"/>
    <w:basedOn w:val="Tableau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efonce-Accent3">
    <w:name w:val="Dark List Accent 3"/>
    <w:basedOn w:val="Tableau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efonce-Accent4">
    <w:name w:val="Dark List Accent 4"/>
    <w:basedOn w:val="Tableau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efonce-Accent5">
    <w:name w:val="Dark List Accent 5"/>
    <w:basedOn w:val="Tableau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efonce-Accent6">
    <w:name w:val="Dark List Accent 6"/>
    <w:basedOn w:val="Tableau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Tramecouleur">
    <w:name w:val="Colorful Shading"/>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Tramecouleur-Accent1">
    <w:name w:val="Colorful Shading Accent 1"/>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Tramecouleur-Accent2">
    <w:name w:val="Colorful Shading Accent 2"/>
    <w:basedOn w:val="Tableau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Tramecouleur-Accent3">
    <w:name w:val="Colorful Shading Accent 3"/>
    <w:basedOn w:val="Tableau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Tramecouleur-Accent4">
    <w:name w:val="Colorful Shading Accent 4"/>
    <w:basedOn w:val="Tableau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Tramecouleur-Accent5">
    <w:name w:val="Colorful Shading Accent 5"/>
    <w:basedOn w:val="Tableau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Tramecouleur-Accent6">
    <w:name w:val="Colorful Shading Accent 6"/>
    <w:basedOn w:val="Tableau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ecouleur">
    <w:name w:val="Colorful List"/>
    <w:basedOn w:val="Tableau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ecouleur-Accent1">
    <w:name w:val="Colorful List Accent 1"/>
    <w:basedOn w:val="Tableau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ecouleur-Accent2">
    <w:name w:val="Colorful List Accent 2"/>
    <w:basedOn w:val="Tableau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ecouleur-Accent3">
    <w:name w:val="Colorful List Accent 3"/>
    <w:basedOn w:val="Tableau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ecouleur-Accent4">
    <w:name w:val="Colorful List Accent 4"/>
    <w:basedOn w:val="Tableau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ecouleur-Accent5">
    <w:name w:val="Colorful List Accent 5"/>
    <w:basedOn w:val="Tableau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ecouleur-Accent6">
    <w:name w:val="Colorful List Accent 6"/>
    <w:basedOn w:val="Tableau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Grillecouleur">
    <w:name w:val="Colorful Grid"/>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rillecouleur-Accent1">
    <w:name w:val="Colorful Grid Accent 1"/>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rillecouleur-Accent2">
    <w:name w:val="Colorful Grid Accent 2"/>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rillecouleur-Accent3">
    <w:name w:val="Colorful Grid Accent 3"/>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rillecouleur-Accent4">
    <w:name w:val="Colorful Grid Accent 4"/>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rillecouleur-Accent5">
    <w:name w:val="Colorful Grid Accent 5"/>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rillecouleur-Accent6">
    <w:name w:val="Colorful Grid Accent 6"/>
    <w:basedOn w:val="Tableau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Lienhypertexte">
    <w:name w:val="Hyperlink"/>
    <w:basedOn w:val="Policepardfaut"/>
    <w:uiPriority w:val="99"/>
    <w:unhideWhenUsed/>
    <w:rsid w:val="00722044"/>
    <w:rPr>
      <w:color w:val="0000FF" w:themeColor="hyperlink"/>
      <w:u w:val="single"/>
    </w:rPr>
  </w:style>
  <w:style w:type="character" w:styleId="Mentionnonrsolue">
    <w:name w:val="Unresolved Mention"/>
    <w:basedOn w:val="Policepardfaut"/>
    <w:uiPriority w:val="99"/>
    <w:semiHidden/>
    <w:unhideWhenUsed/>
    <w:rsid w:val="00722044"/>
    <w:rPr>
      <w:color w:val="605E5C"/>
      <w:shd w:val="clear" w:color="auto" w:fill="E1DFDD"/>
    </w:rPr>
  </w:style>
  <w:style w:type="character" w:styleId="Marquedecommentaire">
    <w:name w:val="annotation reference"/>
    <w:basedOn w:val="Policepardfaut"/>
    <w:uiPriority w:val="99"/>
    <w:semiHidden/>
    <w:unhideWhenUsed/>
    <w:rsid w:val="00D12B8D"/>
    <w:rPr>
      <w:sz w:val="16"/>
      <w:szCs w:val="16"/>
    </w:rPr>
  </w:style>
  <w:style w:type="paragraph" w:styleId="Commentaire">
    <w:name w:val="annotation text"/>
    <w:basedOn w:val="Normal"/>
    <w:link w:val="CommentaireCar"/>
    <w:uiPriority w:val="99"/>
    <w:unhideWhenUsed/>
    <w:rsid w:val="00D12B8D"/>
    <w:pPr>
      <w:spacing w:line="240" w:lineRule="auto"/>
    </w:pPr>
    <w:rPr>
      <w:sz w:val="20"/>
      <w:szCs w:val="20"/>
    </w:rPr>
  </w:style>
  <w:style w:type="character" w:customStyle="1" w:styleId="CommentaireCar">
    <w:name w:val="Commentaire Car"/>
    <w:basedOn w:val="Policepardfaut"/>
    <w:link w:val="Commentaire"/>
    <w:uiPriority w:val="99"/>
    <w:rsid w:val="00D12B8D"/>
    <w:rPr>
      <w:rFonts w:ascii="Aptos" w:hAnsi="Aptos"/>
      <w:sz w:val="20"/>
      <w:szCs w:val="20"/>
    </w:rPr>
  </w:style>
  <w:style w:type="paragraph" w:styleId="Objetducommentaire">
    <w:name w:val="annotation subject"/>
    <w:basedOn w:val="Commentaire"/>
    <w:next w:val="Commentaire"/>
    <w:link w:val="ObjetducommentaireCar"/>
    <w:uiPriority w:val="99"/>
    <w:semiHidden/>
    <w:unhideWhenUsed/>
    <w:rsid w:val="00D12B8D"/>
    <w:rPr>
      <w:b/>
      <w:bCs/>
    </w:rPr>
  </w:style>
  <w:style w:type="character" w:customStyle="1" w:styleId="ObjetducommentaireCar">
    <w:name w:val="Objet du commentaire Car"/>
    <w:basedOn w:val="CommentaireCar"/>
    <w:link w:val="Objetducommentaire"/>
    <w:uiPriority w:val="99"/>
    <w:semiHidden/>
    <w:rsid w:val="00D12B8D"/>
    <w:rPr>
      <w:rFonts w:ascii="Aptos" w:hAnsi="Aptos"/>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1803</Words>
  <Characters>9918</Characters>
  <Application>Microsoft Office Word</Application>
  <DocSecurity>0</DocSecurity>
  <Lines>82</Lines>
  <Paragraphs>23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11698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Erwan Allain</cp:lastModifiedBy>
  <cp:revision>7</cp:revision>
  <dcterms:created xsi:type="dcterms:W3CDTF">2026-09-24T13:53:00Z</dcterms:created>
  <dcterms:modified xsi:type="dcterms:W3CDTF">2026-10-09T08:41:00Z</dcterms:modified>
  <cp:category/>
</cp:coreProperties>
</file>