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329843" cy="109835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9843" cy="10983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hd w:fill="808080" w:val="clear"/>
        <w:spacing w:after="240" w:before="240" w:line="240" w:lineRule="auto"/>
        <w:jc w:val="center"/>
        <w:rPr>
          <w:color w:val="ffffff"/>
          <w:sz w:val="32"/>
          <w:szCs w:val="32"/>
        </w:rPr>
      </w:pPr>
      <w:r w:rsidDel="00000000" w:rsidR="00000000" w:rsidRPr="00000000">
        <w:rPr>
          <w:color w:val="ffffff"/>
          <w:sz w:val="32"/>
          <w:szCs w:val="32"/>
          <w:rtl w:val="0"/>
        </w:rPr>
        <w:t xml:space="preserve">REGLEMENT DE CONSULTATION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MARCHÉ PUBLIC D'ÉTUDES</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pBdr>
          <w:top w:color="000000" w:space="0" w:sz="4" w:val="single"/>
          <w:bottom w:color="000000" w:space="1" w:sz="4" w:val="single"/>
        </w:pBdr>
        <w:jc w:val="center"/>
        <w:rPr/>
      </w:pPr>
      <w:r w:rsidDel="00000000" w:rsidR="00000000" w:rsidRPr="00000000">
        <w:rPr>
          <w:rtl w:val="0"/>
        </w:rPr>
        <w:t xml:space="preserve">Schéma directeur de gestion des eaux pluviales </w:t>
      </w:r>
    </w:p>
    <w:p w:rsidR="00000000" w:rsidDel="00000000" w:rsidP="00000000" w:rsidRDefault="00000000" w:rsidRPr="00000000" w14:paraId="0000000B">
      <w:pPr>
        <w:pBdr>
          <w:top w:color="000000" w:space="0" w:sz="4" w:val="single"/>
          <w:bottom w:color="000000" w:space="1" w:sz="4" w:val="single"/>
        </w:pBdr>
        <w:jc w:val="center"/>
        <w:rPr/>
      </w:pPr>
      <w:r w:rsidDel="00000000" w:rsidR="00000000" w:rsidRPr="00000000">
        <w:rPr>
          <w:rtl w:val="0"/>
        </w:rPr>
        <w:t xml:space="preserve">Commune de LA ROCHE-BERNARD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t xml:space="preserve">Marché n° :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Pouvoir adjudicateur :</w:t>
      </w:r>
    </w:p>
    <w:p w:rsidR="00000000" w:rsidDel="00000000" w:rsidP="00000000" w:rsidRDefault="00000000" w:rsidRPr="00000000" w14:paraId="00000014">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Commune de LA ROCHE-BERNARD</w:t>
      </w:r>
    </w:p>
    <w:p w:rsidR="00000000" w:rsidDel="00000000" w:rsidP="00000000" w:rsidRDefault="00000000" w:rsidRPr="00000000" w14:paraId="00000015">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Place Louis LEVESQUE</w:t>
      </w:r>
    </w:p>
    <w:p w:rsidR="00000000" w:rsidDel="00000000" w:rsidP="00000000" w:rsidRDefault="00000000" w:rsidRPr="00000000" w14:paraId="00000016">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56130 LA ROCHE BERNARD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des matières</w:t>
      </w:r>
    </w:p>
    <w:sdt>
      <w:sdtPr>
        <w:id w:val="-1670934360"/>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w:instrText>
            <w:fldChar w:fldCharType="separate"/>
          </w:r>
          <w:hyperlink w:anchor="_heading=h.y6tftvbhqvh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 OBJET ET ETENDUE DE LA CONSULTATION</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qvsj5sun6mq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1.1 - Objet</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jyr1j5o9g1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1.2 - Mode de passation</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6u0tli76hvf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1.3 - Type et forme de contrat</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2tuqn43uo2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1.4 - Décomposition de la consultation</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yrv11vx8kq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1.5 - Nomenclature</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cxdeap3bi1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2 - Conditions de la consultation</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yasskfkf6g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2.1 - Délai de validité des offres</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youqrnpktw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2.2 - Forme juridique du groupement</w:t>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oetfko2g3tg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2.3 - Variantes</w:t>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f9ic1ha4ba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3 - Conditions relatives au contrat</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dkkn3fhrtd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3.1 - Durée du contrat ou délai d'exécution</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762mbx7osi9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3.2 - Modalités essentielles de financement et de paiement</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prdxsrghq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4 - Contenu du dossier de consultation</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xcvs5up6np9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5 - Présentation des candidatures et des offres</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kx3jas2qia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5.1 - Documents à produire</w:t>
              <w:tab/>
              <w:t xml:space="preserve">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ilmimx5yap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5.2. Pièces de l'offre</w:t>
              <w:tab/>
              <w:t xml:space="preserve">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9ha4juorno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6 - Conditions d'envoi ou de remise des plis</w:t>
              <w:tab/>
              <w:t xml:space="preserve">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b9kmn78egnn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6.1 - Transmission électronique</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oeu9ht9jnpn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6.2 - Transmission sous support papier</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vpyp7y8rnr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7 - Examen des candidatures et des offres</w:t>
              <w:tab/>
              <w:t xml:space="preserve">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5dso5nmxnn6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7.1 - Sélection des candidatures</w:t>
              <w:tab/>
              <w:t xml:space="preserve">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cxmrm12eenj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7.2 - Attribution des marchés</w:t>
              <w:tab/>
              <w:t xml:space="preserve">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00s0cxn9pv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7.3 - Suite à donner à la consultation</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m6297n1kig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8 - Renseignements complémentaires</w:t>
              <w:tab/>
              <w:t xml:space="preserve">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1exnf75b8ha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8.1 - Adresses supplémentaires et points de contact</w:t>
              <w:tab/>
              <w:t xml:space="preserve">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skkqwihgsn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8.2 - Procédures de recours</w:t>
              <w:tab/>
              <w:t xml:space="preserve">9</w:t>
            </w:r>
          </w:hyperlink>
          <w:r w:rsidDel="00000000" w:rsidR="00000000" w:rsidRPr="00000000">
            <w:rPr>
              <w:rtl w:val="0"/>
            </w:rPr>
          </w:r>
        </w:p>
        <w:p w:rsidR="00000000" w:rsidDel="00000000" w:rsidP="00000000" w:rsidRDefault="00000000" w:rsidRPr="00000000" w14:paraId="0000003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rPr>
          <w:rFonts w:ascii="Play" w:cs="Play" w:eastAsia="Play" w:hAnsi="Play"/>
          <w:color w:val="0f476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heading=h.y6tftvbhqvh5" w:id="0"/>
      <w:bookmarkEnd w:id="0"/>
      <w:r w:rsidDel="00000000" w:rsidR="00000000" w:rsidRPr="00000000">
        <w:rPr>
          <w:rtl w:val="0"/>
        </w:rPr>
        <w:t xml:space="preserve">1. OBJET ET ETENDUE DE LA CONSULTATION</w:t>
      </w:r>
    </w:p>
    <w:p w:rsidR="00000000" w:rsidDel="00000000" w:rsidP="00000000" w:rsidRDefault="00000000" w:rsidRPr="00000000" w14:paraId="00000038">
      <w:pPr>
        <w:pStyle w:val="Heading2"/>
        <w:rPr/>
      </w:pPr>
      <w:bookmarkStart w:colFirst="0" w:colLast="0" w:name="_heading=h.qvsj5sun6mqy" w:id="1"/>
      <w:bookmarkEnd w:id="1"/>
      <w:r w:rsidDel="00000000" w:rsidR="00000000" w:rsidRPr="00000000">
        <w:rPr>
          <w:rtl w:val="0"/>
        </w:rPr>
        <w:t xml:space="preserve">1.1 - Objet </w:t>
      </w:r>
    </w:p>
    <w:p w:rsidR="00000000" w:rsidDel="00000000" w:rsidP="00000000" w:rsidRDefault="00000000" w:rsidRPr="00000000" w14:paraId="00000039">
      <w:pPr>
        <w:rPr/>
      </w:pPr>
      <w:r w:rsidDel="00000000" w:rsidR="00000000" w:rsidRPr="00000000">
        <w:rPr>
          <w:rtl w:val="0"/>
        </w:rPr>
        <w:t xml:space="preserve">La présente consultation concerne : LA ROCHE-BERNARD - Schéma directeur de gestion des eaux pluviales (SDGEP)</w:t>
      </w:r>
    </w:p>
    <w:p w:rsidR="00000000" w:rsidDel="00000000" w:rsidP="00000000" w:rsidRDefault="00000000" w:rsidRPr="00000000" w14:paraId="0000003A">
      <w:pPr>
        <w:rPr/>
      </w:pPr>
      <w:r w:rsidDel="00000000" w:rsidR="00000000" w:rsidRPr="00000000">
        <w:rPr>
          <w:rtl w:val="0"/>
        </w:rPr>
        <w:t xml:space="preserve">Lieu d'exécution : commune de La Roche-Bernard </w:t>
      </w:r>
    </w:p>
    <w:p w:rsidR="00000000" w:rsidDel="00000000" w:rsidP="00000000" w:rsidRDefault="00000000" w:rsidRPr="00000000" w14:paraId="0000003B">
      <w:pPr>
        <w:pStyle w:val="Heading2"/>
        <w:rPr/>
      </w:pPr>
      <w:bookmarkStart w:colFirst="0" w:colLast="0" w:name="_heading=h.pjyr1j5o9g1y" w:id="2"/>
      <w:bookmarkEnd w:id="2"/>
      <w:r w:rsidDel="00000000" w:rsidR="00000000" w:rsidRPr="00000000">
        <w:rPr>
          <w:rtl w:val="0"/>
        </w:rPr>
        <w:t xml:space="preserve">1.2 - Mode de passation </w:t>
      </w:r>
    </w:p>
    <w:p w:rsidR="00000000" w:rsidDel="00000000" w:rsidP="00000000" w:rsidRDefault="00000000" w:rsidRPr="00000000" w14:paraId="0000003C">
      <w:pPr>
        <w:rPr/>
      </w:pPr>
      <w:r w:rsidDel="00000000" w:rsidR="00000000" w:rsidRPr="00000000">
        <w:rPr>
          <w:rtl w:val="0"/>
        </w:rPr>
        <w:t xml:space="preserve">La procédure de passation utilisée est : la procédure adaptée ouverte. Elle est soumise aux dispositions des articles L. 2123-1 et R. 2123-1 1° du Code de la commande publique. </w:t>
      </w:r>
    </w:p>
    <w:p w:rsidR="00000000" w:rsidDel="00000000" w:rsidP="00000000" w:rsidRDefault="00000000" w:rsidRPr="00000000" w14:paraId="0000003D">
      <w:pPr>
        <w:pStyle w:val="Heading2"/>
        <w:rPr/>
      </w:pPr>
      <w:bookmarkStart w:colFirst="0" w:colLast="0" w:name="_heading=h.6u0tli76hvfp" w:id="3"/>
      <w:bookmarkEnd w:id="3"/>
      <w:r w:rsidDel="00000000" w:rsidR="00000000" w:rsidRPr="00000000">
        <w:rPr>
          <w:rtl w:val="0"/>
        </w:rPr>
        <w:t xml:space="preserve">1.3 - Type et forme de contrat </w:t>
      </w:r>
    </w:p>
    <w:p w:rsidR="00000000" w:rsidDel="00000000" w:rsidP="00000000" w:rsidRDefault="00000000" w:rsidRPr="00000000" w14:paraId="0000003E">
      <w:pPr>
        <w:rPr/>
      </w:pPr>
      <w:r w:rsidDel="00000000" w:rsidR="00000000" w:rsidRPr="00000000">
        <w:rPr>
          <w:rtl w:val="0"/>
        </w:rPr>
        <w:t xml:space="preserve">Il s'agit d'un marché ordinaire. </w:t>
      </w:r>
    </w:p>
    <w:p w:rsidR="00000000" w:rsidDel="00000000" w:rsidP="00000000" w:rsidRDefault="00000000" w:rsidRPr="00000000" w14:paraId="0000003F">
      <w:pPr>
        <w:pStyle w:val="Heading2"/>
        <w:rPr/>
      </w:pPr>
      <w:bookmarkStart w:colFirst="0" w:colLast="0" w:name="_heading=h.a2tuqn43uo27" w:id="4"/>
      <w:bookmarkEnd w:id="4"/>
      <w:r w:rsidDel="00000000" w:rsidR="00000000" w:rsidRPr="00000000">
        <w:rPr>
          <w:rtl w:val="0"/>
        </w:rPr>
        <w:t xml:space="preserve">1.4 - Décomposition de la consultation </w:t>
      </w:r>
    </w:p>
    <w:p w:rsidR="00000000" w:rsidDel="00000000" w:rsidP="00000000" w:rsidRDefault="00000000" w:rsidRPr="00000000" w14:paraId="00000040">
      <w:pPr>
        <w:rPr/>
      </w:pPr>
      <w:r w:rsidDel="00000000" w:rsidR="00000000" w:rsidRPr="00000000">
        <w:rPr>
          <w:rtl w:val="0"/>
        </w:rPr>
        <w:t xml:space="preserve">Il n'est pas prévu de décomposition en lots. </w:t>
      </w:r>
    </w:p>
    <w:p w:rsidR="00000000" w:rsidDel="00000000" w:rsidP="00000000" w:rsidRDefault="00000000" w:rsidRPr="00000000" w14:paraId="00000041">
      <w:pPr>
        <w:pStyle w:val="Heading2"/>
        <w:rPr/>
      </w:pPr>
      <w:bookmarkStart w:colFirst="0" w:colLast="0" w:name="_heading=h.fyrv11vx8kqh" w:id="5"/>
      <w:bookmarkEnd w:id="5"/>
      <w:r w:rsidDel="00000000" w:rsidR="00000000" w:rsidRPr="00000000">
        <w:rPr>
          <w:rtl w:val="0"/>
        </w:rPr>
        <w:t xml:space="preserve">1.5 - Nomenclature </w:t>
      </w:r>
    </w:p>
    <w:tbl>
      <w:tblPr>
        <w:tblStyle w:val="Table1"/>
        <w:tblW w:w="9746.0" w:type="dxa"/>
        <w:jc w:val="left"/>
        <w:tblInd w:w="82.0" w:type="dxa"/>
        <w:tblBorders>
          <w:top w:color="000000" w:space="0" w:sz="0" w:val="nil"/>
          <w:left w:color="000000" w:space="0" w:sz="0" w:val="nil"/>
          <w:bottom w:color="000000" w:space="0" w:sz="0" w:val="nil"/>
          <w:right w:color="000000" w:space="0" w:sz="0" w:val="nil"/>
        </w:tblBorders>
        <w:tblLayout w:type="fixed"/>
        <w:tblLook w:val="0000"/>
      </w:tblPr>
      <w:tblGrid>
        <w:gridCol w:w="6771"/>
        <w:gridCol w:w="2975"/>
        <w:tblGridChange w:id="0">
          <w:tblGrid>
            <w:gridCol w:w="6771"/>
            <w:gridCol w:w="2975"/>
          </w:tblGrid>
        </w:tblGridChange>
      </w:tblGrid>
      <w:tr>
        <w:trPr>
          <w:cantSplit w:val="0"/>
          <w:trHeight w:val="93"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042">
            <w:pPr>
              <w:rPr>
                <w:sz w:val="20"/>
                <w:szCs w:val="20"/>
              </w:rPr>
            </w:pPr>
            <w:r w:rsidDel="00000000" w:rsidR="00000000" w:rsidRPr="00000000">
              <w:rPr>
                <w:sz w:val="20"/>
                <w:szCs w:val="20"/>
                <w:rtl w:val="0"/>
              </w:rPr>
              <w:t xml:space="preserve">La classification conforme au vocabulaire commun des marchés européens (CPV) est : Code principal </w:t>
            </w:r>
          </w:p>
        </w:tc>
        <w:tc>
          <w:tcPr>
            <w:tcBorders>
              <w:top w:color="000000" w:space="0" w:sz="0" w:val="nil"/>
              <w:left w:color="000000" w:space="0" w:sz="0" w:val="nil"/>
              <w:bottom w:color="000000" w:space="0" w:sz="0" w:val="nil"/>
            </w:tcBorders>
          </w:tcPr>
          <w:p w:rsidR="00000000" w:rsidDel="00000000" w:rsidP="00000000" w:rsidRDefault="00000000" w:rsidRPr="00000000" w14:paraId="00000043">
            <w:pPr>
              <w:rPr>
                <w:sz w:val="20"/>
                <w:szCs w:val="20"/>
              </w:rPr>
            </w:pPr>
            <w:r w:rsidDel="00000000" w:rsidR="00000000" w:rsidRPr="00000000">
              <w:rPr>
                <w:sz w:val="20"/>
                <w:szCs w:val="20"/>
                <w:rtl w:val="0"/>
              </w:rPr>
              <w:t xml:space="preserve">Description </w:t>
            </w:r>
          </w:p>
        </w:tc>
      </w:tr>
      <w:tr>
        <w:trPr>
          <w:cantSplit w:val="0"/>
          <w:trHeight w:val="93"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044">
            <w:pPr>
              <w:rPr>
                <w:sz w:val="20"/>
                <w:szCs w:val="20"/>
              </w:rPr>
            </w:pPr>
            <w:r w:rsidDel="00000000" w:rsidR="00000000" w:rsidRPr="00000000">
              <w:rPr>
                <w:sz w:val="20"/>
                <w:szCs w:val="20"/>
                <w:rtl w:val="0"/>
              </w:rPr>
              <w:t xml:space="preserve">71335000-5 </w:t>
            </w:r>
          </w:p>
        </w:tc>
        <w:tc>
          <w:tcPr>
            <w:tcBorders>
              <w:top w:color="000000" w:space="0" w:sz="0" w:val="nil"/>
              <w:left w:color="000000" w:space="0" w:sz="0" w:val="nil"/>
              <w:bottom w:color="000000" w:space="0" w:sz="0" w:val="nil"/>
            </w:tcBorders>
          </w:tcPr>
          <w:p w:rsidR="00000000" w:rsidDel="00000000" w:rsidP="00000000" w:rsidRDefault="00000000" w:rsidRPr="00000000" w14:paraId="00000045">
            <w:pPr>
              <w:rPr>
                <w:sz w:val="20"/>
                <w:szCs w:val="20"/>
              </w:rPr>
            </w:pPr>
            <w:r w:rsidDel="00000000" w:rsidR="00000000" w:rsidRPr="00000000">
              <w:rPr>
                <w:sz w:val="20"/>
                <w:szCs w:val="20"/>
                <w:rtl w:val="0"/>
              </w:rPr>
              <w:t xml:space="preserve">Études techniques </w:t>
            </w:r>
          </w:p>
        </w:tc>
      </w:tr>
    </w:tbl>
    <w:p w:rsidR="00000000" w:rsidDel="00000000" w:rsidP="00000000" w:rsidRDefault="00000000" w:rsidRPr="00000000" w14:paraId="00000046">
      <w:pPr>
        <w:pStyle w:val="Heading1"/>
        <w:rPr/>
      </w:pPr>
      <w:bookmarkStart w:colFirst="0" w:colLast="0" w:name="_heading=h.3cxdeap3bi1x" w:id="6"/>
      <w:bookmarkEnd w:id="6"/>
      <w:r w:rsidDel="00000000" w:rsidR="00000000" w:rsidRPr="00000000">
        <w:rPr>
          <w:rtl w:val="0"/>
        </w:rPr>
        <w:t xml:space="preserve">2 - Conditions de la consultation </w:t>
      </w:r>
    </w:p>
    <w:p w:rsidR="00000000" w:rsidDel="00000000" w:rsidP="00000000" w:rsidRDefault="00000000" w:rsidRPr="00000000" w14:paraId="00000047">
      <w:pPr>
        <w:pStyle w:val="Heading2"/>
        <w:rPr/>
      </w:pPr>
      <w:bookmarkStart w:colFirst="0" w:colLast="0" w:name="_heading=h.iyasskfkf6g2" w:id="7"/>
      <w:bookmarkEnd w:id="7"/>
      <w:r w:rsidDel="00000000" w:rsidR="00000000" w:rsidRPr="00000000">
        <w:rPr>
          <w:rtl w:val="0"/>
        </w:rPr>
        <w:t xml:space="preserve">2.1 - Délai de validité des offres </w:t>
      </w:r>
    </w:p>
    <w:p w:rsidR="00000000" w:rsidDel="00000000" w:rsidP="00000000" w:rsidRDefault="00000000" w:rsidRPr="00000000" w14:paraId="00000048">
      <w:pPr>
        <w:rPr/>
      </w:pPr>
      <w:r w:rsidDel="00000000" w:rsidR="00000000" w:rsidRPr="00000000">
        <w:rPr>
          <w:rtl w:val="0"/>
        </w:rPr>
        <w:t xml:space="preserve">Le délai de validité des offres est fixé à 120 jours à compter de la date limite de réception des offres. </w:t>
      </w:r>
    </w:p>
    <w:p w:rsidR="00000000" w:rsidDel="00000000" w:rsidP="00000000" w:rsidRDefault="00000000" w:rsidRPr="00000000" w14:paraId="00000049">
      <w:pPr>
        <w:pStyle w:val="Heading2"/>
        <w:rPr/>
      </w:pPr>
      <w:bookmarkStart w:colFirst="0" w:colLast="0" w:name="_heading=h.uyouqrnpktw7" w:id="8"/>
      <w:bookmarkEnd w:id="8"/>
      <w:r w:rsidDel="00000000" w:rsidR="00000000" w:rsidRPr="00000000">
        <w:rPr>
          <w:rtl w:val="0"/>
        </w:rPr>
        <w:t xml:space="preserve">2.2 - Forme juridique du groupement </w:t>
      </w:r>
    </w:p>
    <w:p w:rsidR="00000000" w:rsidDel="00000000" w:rsidP="00000000" w:rsidRDefault="00000000" w:rsidRPr="00000000" w14:paraId="0000004A">
      <w:pPr>
        <w:rPr/>
      </w:pPr>
      <w:r w:rsidDel="00000000" w:rsidR="00000000" w:rsidRPr="00000000">
        <w:rPr>
          <w:rtl w:val="0"/>
        </w:rPr>
        <w:t xml:space="preserve">Le pouvoir adjudicateur ne souhaite imposer aucune forme de groupement à l'attributaire du marché. </w:t>
      </w:r>
    </w:p>
    <w:p w:rsidR="00000000" w:rsidDel="00000000" w:rsidP="00000000" w:rsidRDefault="00000000" w:rsidRPr="00000000" w14:paraId="0000004B">
      <w:pPr>
        <w:pStyle w:val="Heading2"/>
        <w:rPr/>
      </w:pPr>
      <w:bookmarkStart w:colFirst="0" w:colLast="0" w:name="_heading=h.oetfko2g3tga" w:id="9"/>
      <w:bookmarkEnd w:id="9"/>
      <w:r w:rsidDel="00000000" w:rsidR="00000000" w:rsidRPr="00000000">
        <w:rPr>
          <w:rtl w:val="0"/>
        </w:rPr>
        <w:t xml:space="preserve">2.3 - Variantes </w:t>
      </w:r>
    </w:p>
    <w:p w:rsidR="00000000" w:rsidDel="00000000" w:rsidP="00000000" w:rsidRDefault="00000000" w:rsidRPr="00000000" w14:paraId="0000004C">
      <w:pPr>
        <w:rPr/>
      </w:pPr>
      <w:r w:rsidDel="00000000" w:rsidR="00000000" w:rsidRPr="00000000">
        <w:rPr>
          <w:rtl w:val="0"/>
        </w:rPr>
        <w:t xml:space="preserve">Aucune variante n'est autorisée</w:t>
      </w:r>
    </w:p>
    <w:p w:rsidR="00000000" w:rsidDel="00000000" w:rsidP="00000000" w:rsidRDefault="00000000" w:rsidRPr="00000000" w14:paraId="0000004D">
      <w:pPr>
        <w:pStyle w:val="Heading1"/>
        <w:rPr/>
      </w:pPr>
      <w:bookmarkStart w:colFirst="0" w:colLast="0" w:name="_heading=h.af9ic1ha4bah" w:id="10"/>
      <w:bookmarkEnd w:id="10"/>
      <w:r w:rsidDel="00000000" w:rsidR="00000000" w:rsidRPr="00000000">
        <w:rPr>
          <w:rtl w:val="0"/>
        </w:rPr>
        <w:t xml:space="preserve">3 - Conditions relatives au contrat </w:t>
      </w:r>
    </w:p>
    <w:p w:rsidR="00000000" w:rsidDel="00000000" w:rsidP="00000000" w:rsidRDefault="00000000" w:rsidRPr="00000000" w14:paraId="0000004E">
      <w:pPr>
        <w:pStyle w:val="Heading2"/>
        <w:rPr/>
      </w:pPr>
      <w:bookmarkStart w:colFirst="0" w:colLast="0" w:name="_heading=h.hdkkn3fhrtdn" w:id="11"/>
      <w:bookmarkEnd w:id="11"/>
      <w:r w:rsidDel="00000000" w:rsidR="00000000" w:rsidRPr="00000000">
        <w:rPr>
          <w:rtl w:val="0"/>
        </w:rPr>
        <w:t xml:space="preserve">3.1 - Durée du contrat ou délai d'exécution </w:t>
      </w:r>
    </w:p>
    <w:p w:rsidR="00000000" w:rsidDel="00000000" w:rsidP="00000000" w:rsidRDefault="00000000" w:rsidRPr="00000000" w14:paraId="0000004F">
      <w:pPr>
        <w:rPr/>
      </w:pPr>
      <w:r w:rsidDel="00000000" w:rsidR="00000000" w:rsidRPr="00000000">
        <w:rPr>
          <w:rtl w:val="0"/>
        </w:rPr>
        <w:t xml:space="preserve">Le délai d'exécution prévisionnel des prestations est fixé au CCAP et ne peut en aucun cas être modifié. </w:t>
      </w:r>
    </w:p>
    <w:p w:rsidR="00000000" w:rsidDel="00000000" w:rsidP="00000000" w:rsidRDefault="00000000" w:rsidRPr="00000000" w14:paraId="00000050">
      <w:pPr>
        <w:pStyle w:val="Heading2"/>
        <w:rPr/>
      </w:pPr>
      <w:bookmarkStart w:colFirst="0" w:colLast="0" w:name="_heading=h.762mbx7osi9z" w:id="12"/>
      <w:bookmarkEnd w:id="12"/>
      <w:r w:rsidDel="00000000" w:rsidR="00000000" w:rsidRPr="00000000">
        <w:rPr>
          <w:rtl w:val="0"/>
        </w:rPr>
        <w:t xml:space="preserve">3.2 - Modalités essentielles de financement et de paiement </w:t>
      </w:r>
    </w:p>
    <w:p w:rsidR="00000000" w:rsidDel="00000000" w:rsidP="00000000" w:rsidRDefault="00000000" w:rsidRPr="00000000" w14:paraId="00000051">
      <w:pPr>
        <w:jc w:val="both"/>
        <w:rPr/>
      </w:pPr>
      <w:r w:rsidDel="00000000" w:rsidR="00000000" w:rsidRPr="00000000">
        <w:rPr>
          <w:rtl w:val="0"/>
        </w:rPr>
        <w:t xml:space="preserve">Les sommes dues au(x) titulaire(s) et au(x) sous-traitant(s) de premier rang éventuel(s) du marché seront payées dans un délai global de 30 jours à compter de la date de réception des factures ou des demandes de paiement équivalentes. L'attention des candidats est attirée sur le fait que s'ils veulent renoncer aux bénéfices de l'avance prévue au CCAP, ils doivent le préciser à l'acte d'engagement.</w:t>
      </w:r>
    </w:p>
    <w:p w:rsidR="00000000" w:rsidDel="00000000" w:rsidP="00000000" w:rsidRDefault="00000000" w:rsidRPr="00000000" w14:paraId="00000052">
      <w:pPr>
        <w:pStyle w:val="Heading1"/>
        <w:rPr/>
      </w:pPr>
      <w:bookmarkStart w:colFirst="0" w:colLast="0" w:name="_heading=h.3prdxsrghq7" w:id="13"/>
      <w:bookmarkEnd w:id="13"/>
      <w:r w:rsidDel="00000000" w:rsidR="00000000" w:rsidRPr="00000000">
        <w:rPr>
          <w:rtl w:val="0"/>
        </w:rPr>
        <w:t xml:space="preserve">4 - Contenu du dossier de consultation </w:t>
      </w:r>
    </w:p>
    <w:p w:rsidR="00000000" w:rsidDel="00000000" w:rsidP="00000000" w:rsidRDefault="00000000" w:rsidRPr="00000000" w14:paraId="00000053">
      <w:pPr>
        <w:rPr/>
      </w:pPr>
      <w:r w:rsidDel="00000000" w:rsidR="00000000" w:rsidRPr="00000000">
        <w:rPr>
          <w:rtl w:val="0"/>
        </w:rPr>
        <w:t xml:space="preserve">Le dossier de consultation des entreprises (DCE) contient les pièces suivantes :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règlement de la consultation (RC)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L'acte d'engagement (AE) et ses annexes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cahier des clauses administratives particulières (CCAP)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cahier des charges et ses annexes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DPGF, cout des prestations complémentaires, délais</w:t>
      </w:r>
    </w:p>
    <w:p w:rsidR="00000000" w:rsidDel="00000000" w:rsidP="00000000" w:rsidRDefault="00000000" w:rsidRPr="00000000" w14:paraId="00000059">
      <w:pPr>
        <w:rPr/>
      </w:pPr>
      <w:r w:rsidDel="00000000" w:rsidR="00000000" w:rsidRPr="00000000">
        <w:rPr>
          <w:rtl w:val="0"/>
        </w:rPr>
        <w:t xml:space="preserve">Aucune demande d'envoi du DCE sur support physique électronique n'est autorisée. </w:t>
      </w:r>
    </w:p>
    <w:p w:rsidR="00000000" w:rsidDel="00000000" w:rsidP="00000000" w:rsidRDefault="00000000" w:rsidRPr="00000000" w14:paraId="0000005A">
      <w:pPr>
        <w:jc w:val="both"/>
        <w:rPr/>
      </w:pPr>
      <w:r w:rsidDel="00000000" w:rsidR="00000000" w:rsidRPr="00000000">
        <w:rPr>
          <w:rtl w:val="0"/>
        </w:rPr>
        <w:t xml:space="preserve">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émettre aucune réclamation à ce sujet. </w:t>
      </w:r>
    </w:p>
    <w:p w:rsidR="00000000" w:rsidDel="00000000" w:rsidP="00000000" w:rsidRDefault="00000000" w:rsidRPr="00000000" w14:paraId="0000005B">
      <w:pPr>
        <w:jc w:val="both"/>
        <w:rPr/>
      </w:pPr>
      <w:r w:rsidDel="00000000" w:rsidR="00000000" w:rsidRPr="00000000">
        <w:rPr>
          <w:rtl w:val="0"/>
        </w:rPr>
        <w:t xml:space="preserve">Si, pendant l'étude du dossier par les candidats, la date limite de réception des offres est reportée, la disposition précédente est applicable en fonction de cette nouvelle date. </w:t>
      </w:r>
    </w:p>
    <w:p w:rsidR="00000000" w:rsidDel="00000000" w:rsidP="00000000" w:rsidRDefault="00000000" w:rsidRPr="00000000" w14:paraId="0000005C">
      <w:pPr>
        <w:pStyle w:val="Heading1"/>
        <w:rPr/>
      </w:pPr>
      <w:bookmarkStart w:colFirst="0" w:colLast="0" w:name="_heading=h.xcvs5up6np9f" w:id="14"/>
      <w:bookmarkEnd w:id="14"/>
      <w:r w:rsidDel="00000000" w:rsidR="00000000" w:rsidRPr="00000000">
        <w:rPr>
          <w:rtl w:val="0"/>
        </w:rPr>
        <w:t xml:space="preserve">5 - Présentation des candidatures et des offres </w:t>
      </w:r>
    </w:p>
    <w:p w:rsidR="00000000" w:rsidDel="00000000" w:rsidP="00000000" w:rsidRDefault="00000000" w:rsidRPr="00000000" w14:paraId="0000005D">
      <w:pPr>
        <w:jc w:val="both"/>
        <w:rPr/>
      </w:pPr>
      <w:r w:rsidDel="00000000" w:rsidR="00000000" w:rsidRPr="00000000">
        <w:rPr>
          <w:rtl w:val="0"/>
        </w:rPr>
        <w:t xml:space="preserve">Le pouvoir adjudicateur applique le principe "Dites-le nous une fois". Par conséquent, les candidats ne sont pas tenus de fournir les documents et renseignements qui ont déjà été transmis dans le cadre d'une précédente consultation et qui demeurent valables. Les offres des candidats seront entièrement rédigées en langue française et exprimées en EURO. Si les offres des candidats sont rédigées dans une autre langue, elles doivent être accompagnées d'une traduction en français, cette traduction doit concerner l'ensemble des documents remis dans l'offre. </w:t>
      </w:r>
    </w:p>
    <w:p w:rsidR="00000000" w:rsidDel="00000000" w:rsidP="00000000" w:rsidRDefault="00000000" w:rsidRPr="00000000" w14:paraId="0000005E">
      <w:pPr>
        <w:pStyle w:val="Heading2"/>
        <w:rPr/>
      </w:pPr>
      <w:bookmarkStart w:colFirst="0" w:colLast="0" w:name="_heading=h.ukx3jas2qiag" w:id="15"/>
      <w:bookmarkEnd w:id="15"/>
      <w:r w:rsidDel="00000000" w:rsidR="00000000" w:rsidRPr="00000000">
        <w:rPr>
          <w:rtl w:val="0"/>
        </w:rPr>
        <w:t xml:space="preserve">5.1 - Documents à produire </w:t>
      </w:r>
    </w:p>
    <w:p w:rsidR="00000000" w:rsidDel="00000000" w:rsidP="00000000" w:rsidRDefault="00000000" w:rsidRPr="00000000" w14:paraId="0000005F">
      <w:pPr>
        <w:rPr/>
      </w:pPr>
      <w:r w:rsidDel="00000000" w:rsidR="00000000" w:rsidRPr="00000000">
        <w:rPr>
          <w:rtl w:val="0"/>
        </w:rPr>
        <w:t xml:space="preserve">Chaque candidat aura à produire un dossier complet comprenant les pièces suivantes : </w:t>
      </w:r>
    </w:p>
    <w:p w:rsidR="00000000" w:rsidDel="00000000" w:rsidP="00000000" w:rsidRDefault="00000000" w:rsidRPr="00000000" w14:paraId="00000060">
      <w:pPr>
        <w:rPr>
          <w:b w:val="1"/>
          <w:bCs w:val="1"/>
        </w:rPr>
      </w:pPr>
      <w:r w:rsidDel="00000000" w:rsidR="00000000" w:rsidRPr="00000000">
        <w:rPr>
          <w:b w:val="1"/>
          <w:bCs w:val="1"/>
          <w:rtl w:val="0"/>
        </w:rPr>
        <w:t xml:space="preserve">Renseignements concernant la situation juridique de l'entreprise :</w:t>
      </w:r>
    </w:p>
    <w:tbl>
      <w:tblPr>
        <w:tblStyle w:val="Table2"/>
        <w:tblW w:w="9748.0" w:type="dxa"/>
        <w:jc w:val="left"/>
        <w:tblInd w:w="-1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2"/>
        <w:gridCol w:w="1276"/>
        <w:tblGridChange w:id="0">
          <w:tblGrid>
            <w:gridCol w:w="8472"/>
            <w:gridCol w:w="1276"/>
          </w:tblGrid>
        </w:tblGridChange>
      </w:tblGrid>
      <w:tr>
        <w:trPr>
          <w:cantSplit w:val="0"/>
          <w:trHeight w:val="93" w:hRule="atLeast"/>
          <w:tblHeader w:val="0"/>
        </w:trPr>
        <w:tc>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Libellés </w:t>
            </w:r>
          </w:p>
        </w:tc>
        <w:tc>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Signature </w:t>
            </w:r>
          </w:p>
        </w:tc>
      </w:tr>
      <w:tr>
        <w:trPr>
          <w:cantSplit w:val="0"/>
          <w:trHeight w:val="210" w:hRule="atLeast"/>
          <w:tblHeader w:val="0"/>
        </w:trPr>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Déclaration sur l'honneur pour justifier que le candidat n'entre dans aucun des cas d'interdiction de soumissionner </w:t>
            </w:r>
          </w:p>
        </w:tc>
        <w:tc>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Oui </w:t>
            </w:r>
          </w:p>
        </w:tc>
      </w:tr>
    </w:tbl>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bCs w:val="1"/>
        </w:rPr>
      </w:pPr>
      <w:r w:rsidDel="00000000" w:rsidR="00000000" w:rsidRPr="00000000">
        <w:rPr>
          <w:b w:val="1"/>
          <w:bCs w:val="1"/>
          <w:rtl w:val="0"/>
        </w:rPr>
        <w:t xml:space="preserve">Renseignements concernant la capacité économique et financière de l'entreprise :</w:t>
      </w:r>
    </w:p>
    <w:tbl>
      <w:tblPr>
        <w:tblStyle w:val="Table3"/>
        <w:tblW w:w="9946.0" w:type="dxa"/>
        <w:jc w:val="left"/>
        <w:tblInd w:w="-1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2"/>
        <w:gridCol w:w="1474"/>
        <w:tblGridChange w:id="0">
          <w:tblGrid>
            <w:gridCol w:w="8472"/>
            <w:gridCol w:w="1474"/>
          </w:tblGrid>
        </w:tblGridChange>
      </w:tblGrid>
      <w:tr>
        <w:trPr>
          <w:cantSplit w:val="0"/>
          <w:trHeight w:val="93" w:hRule="atLeast"/>
          <w:tblHeader w:val="0"/>
        </w:trPr>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Libellés </w:t>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Signature </w:t>
            </w:r>
          </w:p>
        </w:tc>
      </w:tr>
      <w:tr>
        <w:trPr>
          <w:cantSplit w:val="0"/>
          <w:trHeight w:val="210" w:hRule="atLeast"/>
          <w:tblHeader w:val="0"/>
        </w:trPr>
        <w:tc>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Déclaration concernant le chiffre d'affaires global et le chiffre d'affaires concernant les prestations objet du contrat, réalisées au cours des trois derniers exercices disponibles </w:t>
            </w:r>
          </w:p>
        </w:tc>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Oui </w:t>
            </w:r>
          </w:p>
        </w:tc>
      </w:tr>
      <w:tr>
        <w:trPr>
          <w:cantSplit w:val="0"/>
          <w:trHeight w:val="210" w:hRule="atLeast"/>
          <w:tblHeader w:val="0"/>
        </w:trPr>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Déclaration appropriée de banques ou preuve d'une assurance pour les risques professionnels </w:t>
            </w:r>
          </w:p>
        </w:tc>
        <w:tc>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Oui </w:t>
            </w:r>
          </w:p>
        </w:tc>
      </w:tr>
    </w:tbl>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b w:val="1"/>
          <w:bCs w:val="1"/>
        </w:rPr>
      </w:pPr>
      <w:r w:rsidDel="00000000" w:rsidR="00000000" w:rsidRPr="00000000">
        <w:rPr>
          <w:b w:val="1"/>
          <w:bCs w:val="1"/>
          <w:rtl w:val="0"/>
        </w:rPr>
        <w:t xml:space="preserve">Renseignements concernant les références professionnelles et la capacité technique de l'entreprise :</w:t>
      </w:r>
    </w:p>
    <w:tbl>
      <w:tblPr>
        <w:tblStyle w:val="Table4"/>
        <w:tblW w:w="9946.0" w:type="dxa"/>
        <w:jc w:val="left"/>
        <w:tblInd w:w="-1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2"/>
        <w:gridCol w:w="1474"/>
        <w:tblGridChange w:id="0">
          <w:tblGrid>
            <w:gridCol w:w="8472"/>
            <w:gridCol w:w="1474"/>
          </w:tblGrid>
        </w:tblGridChange>
      </w:tblGrid>
      <w:tr>
        <w:trPr>
          <w:cantSplit w:val="0"/>
          <w:trHeight w:val="93" w:hRule="atLeast"/>
          <w:tblHeader w:val="0"/>
        </w:trPr>
        <w:tc>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Libellés </w:t>
            </w:r>
          </w:p>
        </w:tc>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Signature </w:t>
            </w:r>
          </w:p>
        </w:tc>
      </w:tr>
      <w:tr>
        <w:trPr>
          <w:cantSplit w:val="0"/>
          <w:trHeight w:val="210" w:hRule="atLeast"/>
          <w:tblHeader w:val="0"/>
        </w:trPr>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Déclaration indiquant l'outillage, le matériel et l'équipement technique dont le candidat dispose pour la réalisation du contrat </w:t>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Oui </w:t>
            </w:r>
          </w:p>
        </w:tc>
      </w:tr>
      <w:tr>
        <w:trPr>
          <w:cantSplit w:val="0"/>
          <w:trHeight w:val="210" w:hRule="atLeast"/>
          <w:tblHeader w:val="0"/>
        </w:trPr>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Déclaration indiquant les effectifs moyens annuels du candidat et l'importance du personnel d'encadrement pour chacune des trois dernières années </w:t>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Oui </w:t>
            </w:r>
          </w:p>
        </w:tc>
      </w:tr>
      <w:tr>
        <w:trPr>
          <w:cantSplit w:val="0"/>
          <w:trHeight w:val="326" w:hRule="atLeast"/>
          <w:tblHeader w:val="0"/>
        </w:trPr>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Liste des principales prestations effectuées au cours des trois dernières années, indiquant le montant, la date et le destinataire. Elles sont prouvées par des attestations du destinataire ou, à défaut, par une déclaration du candidat </w:t>
            </w:r>
          </w:p>
        </w:tc>
        <w:tc>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Oui </w:t>
            </w:r>
          </w:p>
        </w:tc>
      </w:tr>
    </w:tbl>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tl w:val="0"/>
        </w:rPr>
        <w:t xml:space="preserve">Pour présenter leur candidature, les candidats utilisent soit les formulaires DC1 (lettre de candidature) et DC2 (déclaration du candidat) disponibles gratuitement sur le site www.economie.gouv.fr, soit le Document Unique de Marché Européen (DUME). </w:t>
      </w:r>
    </w:p>
    <w:p w:rsidR="00000000" w:rsidDel="00000000" w:rsidP="00000000" w:rsidRDefault="00000000" w:rsidRPr="00000000" w14:paraId="00000079">
      <w:pPr>
        <w:jc w:val="both"/>
        <w:rPr/>
      </w:pPr>
      <w:r w:rsidDel="00000000" w:rsidR="00000000" w:rsidRPr="00000000">
        <w:rPr>
          <w:rtl w:val="0"/>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rsidR="00000000" w:rsidDel="00000000" w:rsidP="00000000" w:rsidRDefault="00000000" w:rsidRPr="00000000" w14:paraId="0000007A">
      <w:pPr>
        <w:pStyle w:val="Heading2"/>
        <w:rPr/>
      </w:pPr>
      <w:bookmarkStart w:colFirst="0" w:colLast="0" w:name="_heading=h.3ilmimx5yapn" w:id="16"/>
      <w:bookmarkEnd w:id="16"/>
      <w:r w:rsidDel="00000000" w:rsidR="00000000" w:rsidRPr="00000000">
        <w:rPr>
          <w:rtl w:val="0"/>
        </w:rPr>
        <w:t xml:space="preserve">5.2. Pièces de l'offre </w:t>
      </w:r>
    </w:p>
    <w:tbl>
      <w:tblPr>
        <w:tblStyle w:val="Table5"/>
        <w:tblW w:w="10005.0" w:type="dxa"/>
        <w:jc w:val="left"/>
        <w:tblInd w:w="-1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5"/>
        <w:gridCol w:w="1500"/>
        <w:tblGridChange w:id="0">
          <w:tblGrid>
            <w:gridCol w:w="8505"/>
            <w:gridCol w:w="1500"/>
          </w:tblGrid>
        </w:tblGridChange>
      </w:tblGrid>
      <w:tr>
        <w:trPr>
          <w:cantSplit w:val="0"/>
          <w:trHeight w:val="93" w:hRule="atLeast"/>
          <w:tblHeader w:val="0"/>
        </w:trPr>
        <w:tc>
          <w:tcPr/>
          <w:p w:rsidR="00000000" w:rsidDel="00000000" w:rsidP="00000000" w:rsidRDefault="00000000" w:rsidRPr="00000000" w14:paraId="0000007B">
            <w:pPr>
              <w:rPr/>
            </w:pPr>
            <w:r w:rsidDel="00000000" w:rsidR="00000000" w:rsidRPr="00000000">
              <w:rPr>
                <w:rtl w:val="0"/>
              </w:rPr>
              <w:t xml:space="preserve">Libellés </w:t>
            </w:r>
          </w:p>
        </w:tc>
        <w:tc>
          <w:tcPr/>
          <w:p w:rsidR="00000000" w:rsidDel="00000000" w:rsidP="00000000" w:rsidRDefault="00000000" w:rsidRPr="00000000" w14:paraId="0000007C">
            <w:pPr>
              <w:rPr/>
            </w:pPr>
            <w:r w:rsidDel="00000000" w:rsidR="00000000" w:rsidRPr="00000000">
              <w:rPr>
                <w:rtl w:val="0"/>
              </w:rPr>
              <w:t xml:space="preserve">Signature </w:t>
            </w:r>
          </w:p>
        </w:tc>
      </w:tr>
      <w:tr>
        <w:trPr>
          <w:cantSplit w:val="0"/>
          <w:trHeight w:val="93" w:hRule="atLeast"/>
          <w:tblHeader w:val="0"/>
        </w:trPr>
        <w:tc>
          <w:tcPr/>
          <w:p w:rsidR="00000000" w:rsidDel="00000000" w:rsidP="00000000" w:rsidRDefault="00000000" w:rsidRPr="00000000" w14:paraId="0000007D">
            <w:pPr>
              <w:rPr/>
            </w:pPr>
            <w:r w:rsidDel="00000000" w:rsidR="00000000" w:rsidRPr="00000000">
              <w:rPr>
                <w:rtl w:val="0"/>
              </w:rPr>
              <w:t xml:space="preserve">L'acte d'engagement (AE) et ses annexes </w:t>
            </w:r>
          </w:p>
        </w:tc>
        <w:tc>
          <w:tcPr/>
          <w:p w:rsidR="00000000" w:rsidDel="00000000" w:rsidP="00000000" w:rsidRDefault="00000000" w:rsidRPr="00000000" w14:paraId="0000007E">
            <w:pPr>
              <w:rPr/>
            </w:pPr>
            <w:r w:rsidDel="00000000" w:rsidR="00000000" w:rsidRPr="00000000">
              <w:rPr>
                <w:rtl w:val="0"/>
              </w:rPr>
              <w:t xml:space="preserve">Oui </w:t>
            </w:r>
          </w:p>
        </w:tc>
      </w:tr>
      <w:tr>
        <w:trPr>
          <w:cantSplit w:val="0"/>
          <w:trHeight w:val="441" w:hRule="atLeast"/>
          <w:tblHeader w:val="0"/>
        </w:trPr>
        <w:tc>
          <w:tcPr/>
          <w:p w:rsidR="00000000" w:rsidDel="00000000" w:rsidP="00000000" w:rsidRDefault="00000000" w:rsidRPr="00000000" w14:paraId="0000007F">
            <w:pPr>
              <w:rPr/>
            </w:pPr>
            <w:r w:rsidDel="00000000" w:rsidR="00000000" w:rsidRPr="00000000">
              <w:rPr>
                <w:rtl w:val="0"/>
              </w:rPr>
              <w:t xml:space="preserve">La décomposition du prix global forfaitaire (DPGF) </w:t>
            </w:r>
          </w:p>
          <w:p w:rsidR="00000000" w:rsidDel="00000000" w:rsidP="00000000" w:rsidRDefault="00000000" w:rsidRPr="00000000" w14:paraId="00000080">
            <w:pPr>
              <w:rPr/>
            </w:pPr>
            <w:r w:rsidDel="00000000" w:rsidR="00000000" w:rsidRPr="00000000">
              <w:rPr>
                <w:rtl w:val="0"/>
              </w:rPr>
              <w:t xml:space="preserve">Et</w:t>
            </w:r>
          </w:p>
          <w:p w:rsidR="00000000" w:rsidDel="00000000" w:rsidP="00000000" w:rsidRDefault="00000000" w:rsidRPr="00000000" w14:paraId="00000081">
            <w:pPr>
              <w:rPr/>
            </w:pPr>
            <w:r w:rsidDel="00000000" w:rsidR="00000000" w:rsidRPr="00000000">
              <w:rPr>
                <w:rtl w:val="0"/>
              </w:rPr>
              <w:t xml:space="preserve">Les délais d'exécution de chaque mission</w:t>
            </w:r>
          </w:p>
        </w:tc>
        <w:tc>
          <w:tcPr/>
          <w:p w:rsidR="00000000" w:rsidDel="00000000" w:rsidP="00000000" w:rsidRDefault="00000000" w:rsidRPr="00000000" w14:paraId="00000082">
            <w:pPr>
              <w:rPr/>
            </w:pPr>
            <w:r w:rsidDel="00000000" w:rsidR="00000000" w:rsidRPr="00000000">
              <w:rPr>
                <w:rtl w:val="0"/>
              </w:rPr>
              <w:t xml:space="preserve">Oui </w:t>
            </w:r>
          </w:p>
        </w:tc>
      </w:tr>
      <w:tr>
        <w:trPr>
          <w:cantSplit w:val="0"/>
          <w:trHeight w:val="790" w:hRule="atLeast"/>
          <w:tblHeader w:val="0"/>
        </w:trPr>
        <w:tc>
          <w:tcPr/>
          <w:p w:rsidR="00000000" w:rsidDel="00000000" w:rsidP="00000000" w:rsidRDefault="00000000" w:rsidRPr="00000000" w14:paraId="00000083">
            <w:pPr>
              <w:rPr/>
            </w:pPr>
            <w:r w:rsidDel="00000000" w:rsidR="00000000" w:rsidRPr="00000000">
              <w:rPr>
                <w:rtl w:val="0"/>
              </w:rPr>
              <w:t xml:space="preserve">Un mémoire justificatif des dispositions que l'entreprise se propose d'adopter pour l'exécution du contrat </w:t>
            </w:r>
            <w:r w:rsidDel="00000000" w:rsidR="00000000" w:rsidRPr="00000000">
              <w:rPr>
                <w:u w:val="single"/>
                <w:rtl w:val="0"/>
              </w:rPr>
              <w:t xml:space="preserve">composé de 20 pages maximum annexes comprises</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 la méthodologie proposée pour la conduite de l’étude ; </w:t>
            </w:r>
          </w:p>
          <w:p w:rsidR="00000000" w:rsidDel="00000000" w:rsidP="00000000" w:rsidRDefault="00000000" w:rsidRPr="00000000" w14:paraId="00000085">
            <w:pPr>
              <w:rPr/>
            </w:pPr>
            <w:r w:rsidDel="00000000" w:rsidR="00000000" w:rsidRPr="00000000">
              <w:rPr>
                <w:rtl w:val="0"/>
              </w:rPr>
              <w:t xml:space="preserve">- la composition de l’équipe projet chargée de l’étude ; </w:t>
            </w:r>
          </w:p>
          <w:p w:rsidR="00000000" w:rsidDel="00000000" w:rsidP="00000000" w:rsidRDefault="00000000" w:rsidRPr="00000000" w14:paraId="00000086">
            <w:pPr>
              <w:rPr/>
            </w:pPr>
            <w:r w:rsidDel="00000000" w:rsidR="00000000" w:rsidRPr="00000000">
              <w:rPr>
                <w:rtl w:val="0"/>
              </w:rPr>
              <w:t xml:space="preserve">- l’organisation mise en place pour la concertation ; </w:t>
            </w:r>
          </w:p>
          <w:p w:rsidR="00000000" w:rsidDel="00000000" w:rsidP="00000000" w:rsidRDefault="00000000" w:rsidRPr="00000000" w14:paraId="00000087">
            <w:pPr>
              <w:rPr/>
            </w:pPr>
            <w:r w:rsidDel="00000000" w:rsidR="00000000" w:rsidRPr="00000000">
              <w:rPr>
                <w:rtl w:val="0"/>
              </w:rPr>
              <w:t xml:space="preserve">- l’organisation mise en place pour optimiser le calendrier ; </w:t>
            </w:r>
          </w:p>
          <w:p w:rsidR="00000000" w:rsidDel="00000000" w:rsidP="00000000" w:rsidRDefault="00000000" w:rsidRPr="00000000" w14:paraId="00000088">
            <w:pPr>
              <w:rPr/>
            </w:pPr>
            <w:r w:rsidDel="00000000" w:rsidR="00000000" w:rsidRPr="00000000">
              <w:rPr>
                <w:rtl w:val="0"/>
              </w:rPr>
              <w:t xml:space="preserve">- les références sur des missions similaires. </w:t>
            </w:r>
          </w:p>
        </w:tc>
        <w:tc>
          <w:tcPr/>
          <w:p w:rsidR="00000000" w:rsidDel="00000000" w:rsidP="00000000" w:rsidRDefault="00000000" w:rsidRPr="00000000" w14:paraId="00000089">
            <w:pPr>
              <w:rPr/>
            </w:pPr>
            <w:r w:rsidDel="00000000" w:rsidR="00000000" w:rsidRPr="00000000">
              <w:rPr>
                <w:rtl w:val="0"/>
              </w:rPr>
              <w:t xml:space="preserve">Oui </w:t>
            </w:r>
          </w:p>
        </w:tc>
      </w:tr>
      <w:tr>
        <w:trPr>
          <w:cantSplit w:val="0"/>
          <w:trHeight w:val="93" w:hRule="atLeast"/>
          <w:tblHeader w:val="0"/>
        </w:trPr>
        <w:tc>
          <w:tcPr/>
          <w:p w:rsidR="00000000" w:rsidDel="00000000" w:rsidP="00000000" w:rsidRDefault="00000000" w:rsidRPr="00000000" w14:paraId="0000008A">
            <w:pPr>
              <w:rPr/>
            </w:pPr>
            <w:r w:rsidDel="00000000" w:rsidR="00000000" w:rsidRPr="00000000">
              <w:rPr>
                <w:rtl w:val="0"/>
              </w:rPr>
              <w:t xml:space="preserve">Pour chacune des 3 phases :</w:t>
            </w:r>
          </w:p>
          <w:p w:rsidR="00000000" w:rsidDel="00000000" w:rsidP="00000000" w:rsidRDefault="00000000" w:rsidRPr="00000000" w14:paraId="0000008B">
            <w:pPr>
              <w:rPr/>
            </w:pPr>
            <w:r w:rsidDel="00000000" w:rsidR="00000000" w:rsidRPr="00000000">
              <w:rPr>
                <w:rtl w:val="0"/>
              </w:rPr>
              <w:t xml:space="preserve">Une note méthodologique incluant le descriptif des missions </w:t>
            </w:r>
            <w:r w:rsidDel="00000000" w:rsidR="00000000" w:rsidRPr="00000000">
              <w:rPr>
                <w:u w:val="single"/>
                <w:rtl w:val="0"/>
              </w:rPr>
              <w:t xml:space="preserve">composée de 5 pages maximum annexes comprises</w:t>
            </w:r>
            <w:r w:rsidDel="00000000" w:rsidR="00000000" w:rsidRPr="00000000">
              <w:rPr>
                <w:rtl w:val="0"/>
              </w:rPr>
              <w:t xml:space="preserve"> </w:t>
            </w:r>
          </w:p>
        </w:tc>
        <w:tc>
          <w:tcPr/>
          <w:p w:rsidR="00000000" w:rsidDel="00000000" w:rsidP="00000000" w:rsidRDefault="00000000" w:rsidRPr="00000000" w14:paraId="0000008C">
            <w:pPr>
              <w:rPr/>
            </w:pPr>
            <w:r w:rsidDel="00000000" w:rsidR="00000000" w:rsidRPr="00000000">
              <w:rPr>
                <w:rtl w:val="0"/>
              </w:rPr>
              <w:t xml:space="preserve">Oui </w:t>
            </w:r>
          </w:p>
        </w:tc>
      </w:tr>
    </w:tbl>
    <w:p w:rsidR="00000000" w:rsidDel="00000000" w:rsidP="00000000" w:rsidRDefault="00000000" w:rsidRPr="00000000" w14:paraId="0000008D">
      <w:pPr>
        <w:jc w:val="both"/>
        <w:rPr/>
      </w:pPr>
      <w:r w:rsidDel="00000000" w:rsidR="00000000" w:rsidRPr="00000000">
        <w:rPr>
          <w:rtl w:val="0"/>
        </w:rPr>
        <w:t xml:space="preserve">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000000" w:rsidDel="00000000" w:rsidP="00000000" w:rsidRDefault="00000000" w:rsidRPr="00000000" w14:paraId="0000008E">
      <w:pPr>
        <w:pStyle w:val="Heading1"/>
        <w:rPr/>
      </w:pPr>
      <w:bookmarkStart w:colFirst="0" w:colLast="0" w:name="_heading=h.p9ha4juorno3" w:id="17"/>
      <w:bookmarkEnd w:id="17"/>
      <w:r w:rsidDel="00000000" w:rsidR="00000000" w:rsidRPr="00000000">
        <w:rPr>
          <w:rtl w:val="0"/>
        </w:rPr>
        <w:t xml:space="preserve">6 - Conditions d'envoi ou de remise des plis </w:t>
      </w:r>
    </w:p>
    <w:p w:rsidR="00000000" w:rsidDel="00000000" w:rsidP="00000000" w:rsidRDefault="00000000" w:rsidRPr="00000000" w14:paraId="0000008F">
      <w:pPr>
        <w:jc w:val="both"/>
        <w:rPr/>
      </w:pPr>
      <w:r w:rsidDel="00000000" w:rsidR="00000000" w:rsidRPr="00000000">
        <w:rPr>
          <w:rtl w:val="0"/>
        </w:rPr>
        <w:t xml:space="preserve">Les plis devront parvenir à destination avant la date et l'heure limites de réception des offres indiquées sur la page de garde du présent document. </w:t>
      </w:r>
    </w:p>
    <w:p w:rsidR="00000000" w:rsidDel="00000000" w:rsidP="00000000" w:rsidRDefault="00000000" w:rsidRPr="00000000" w14:paraId="00000090">
      <w:pPr>
        <w:pStyle w:val="Heading2"/>
        <w:rPr/>
      </w:pPr>
      <w:bookmarkStart w:colFirst="0" w:colLast="0" w:name="_heading=h.b9kmn78egnn2" w:id="18"/>
      <w:bookmarkEnd w:id="18"/>
      <w:r w:rsidDel="00000000" w:rsidR="00000000" w:rsidRPr="00000000">
        <w:rPr>
          <w:rtl w:val="0"/>
        </w:rPr>
        <w:t xml:space="preserve">6.1 - Transmission électronique </w:t>
      </w:r>
    </w:p>
    <w:p w:rsidR="00000000" w:rsidDel="00000000" w:rsidP="00000000" w:rsidRDefault="00000000" w:rsidRPr="00000000" w14:paraId="00000091">
      <w:pPr>
        <w:jc w:val="both"/>
        <w:rPr/>
      </w:pPr>
      <w:r w:rsidDel="00000000" w:rsidR="00000000" w:rsidRPr="00000000">
        <w:rPr>
          <w:rtl w:val="0"/>
        </w:rPr>
        <w:t xml:space="preserve">La transmission des documents par voie électronique est effectuée sur le profil d'acheteur du pouvoir adjudicateur, à l'adresse URL suivante : </w:t>
      </w:r>
      <w:r w:rsidDel="00000000" w:rsidR="00000000" w:rsidRPr="00000000">
        <w:rPr>
          <w:highlight w:val="yellow"/>
          <w:rtl w:val="0"/>
        </w:rPr>
        <w:t xml:space="preserve">https://www.marches.megalis.bretagne.bzh</w:t>
      </w:r>
      <w:r w:rsidDel="00000000" w:rsidR="00000000" w:rsidRPr="00000000">
        <w:rPr>
          <w:rtl w:val="0"/>
        </w:rPr>
      </w:r>
    </w:p>
    <w:p w:rsidR="00000000" w:rsidDel="00000000" w:rsidP="00000000" w:rsidRDefault="00000000" w:rsidRPr="00000000" w14:paraId="00000092">
      <w:pPr>
        <w:jc w:val="both"/>
        <w:rPr/>
      </w:pPr>
      <w:r w:rsidDel="00000000" w:rsidR="00000000" w:rsidRPr="00000000">
        <w:rPr>
          <w:rtl w:val="0"/>
        </w:rPr>
        <w:t xml:space="preserve">Le choix du mode de transmission est global et irréversible. Les candidats doivent appliquer le même mode de transmission à l'ensemble des documents transmis au pouvoir adjudicateur. </w:t>
      </w:r>
    </w:p>
    <w:p w:rsidR="00000000" w:rsidDel="00000000" w:rsidP="00000000" w:rsidRDefault="00000000" w:rsidRPr="00000000" w14:paraId="00000093">
      <w:pPr>
        <w:jc w:val="both"/>
        <w:rPr/>
      </w:pPr>
      <w:r w:rsidDel="00000000" w:rsidR="00000000" w:rsidRPr="00000000">
        <w:rPr>
          <w:rtl w:val="0"/>
        </w:rPr>
        <w:t xml:space="preserve">Le pli doit contenir deux dossiers distincts comportant respectivement les pièces de la candidature et les pièces de l'offre définies au présent règlement de la consultation. </w:t>
      </w:r>
    </w:p>
    <w:p w:rsidR="00000000" w:rsidDel="00000000" w:rsidP="00000000" w:rsidRDefault="00000000" w:rsidRPr="00000000" w14:paraId="00000094">
      <w:pPr>
        <w:jc w:val="both"/>
        <w:rPr/>
      </w:pPr>
      <w:r w:rsidDel="00000000" w:rsidR="00000000" w:rsidRPr="00000000">
        <w:rPr>
          <w:rtl w:val="0"/>
        </w:rPr>
        <w:t xml:space="preserve">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 </w:t>
      </w:r>
    </w:p>
    <w:p w:rsidR="00000000" w:rsidDel="00000000" w:rsidP="00000000" w:rsidRDefault="00000000" w:rsidRPr="00000000" w14:paraId="00000095">
      <w:pPr>
        <w:jc w:val="both"/>
        <w:rPr/>
      </w:pPr>
      <w:r w:rsidDel="00000000" w:rsidR="00000000" w:rsidRPr="00000000">
        <w:rPr>
          <w:rtl w:val="0"/>
        </w:rPr>
        <w:t xml:space="preserve">Si plusieurs plis sont transmis successivement par le même candidat, </w:t>
      </w:r>
      <w:r w:rsidDel="00000000" w:rsidR="00000000" w:rsidRPr="00000000">
        <w:rPr>
          <w:b w:val="1"/>
          <w:bCs w:val="1"/>
          <w:rtl w:val="0"/>
        </w:rPr>
        <w:t xml:space="preserve">seul le dernier pli transmis dans le délai imparti est pris en compte par l'acheteur. </w:t>
      </w:r>
      <w:r w:rsidDel="00000000" w:rsidR="00000000" w:rsidRPr="00000000">
        <w:rPr>
          <w:rtl w:val="0"/>
        </w:rPr>
        <w:t xml:space="preserve">Il doit par conséquent contenir l'ensemble des pièces exigées au titre de la présente consultation. </w:t>
      </w:r>
    </w:p>
    <w:p w:rsidR="00000000" w:rsidDel="00000000" w:rsidP="00000000" w:rsidRDefault="00000000" w:rsidRPr="00000000" w14:paraId="00000096">
      <w:pPr>
        <w:jc w:val="both"/>
        <w:rPr/>
      </w:pPr>
      <w:r w:rsidDel="00000000" w:rsidR="00000000" w:rsidRPr="00000000">
        <w:rPr>
          <w:rtl w:val="0"/>
        </w:rPr>
        <w:t xml:space="preserve">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w:t>
      </w:r>
    </w:p>
    <w:p w:rsidR="00000000" w:rsidDel="00000000" w:rsidP="00000000" w:rsidRDefault="00000000" w:rsidRPr="00000000" w14:paraId="00000097">
      <w:pPr>
        <w:jc w:val="both"/>
        <w:rPr/>
      </w:pPr>
      <w:r w:rsidDel="00000000" w:rsidR="00000000" w:rsidRPr="00000000">
        <w:rPr>
          <w:rtl w:val="0"/>
        </w:rPr>
      </w:r>
    </w:p>
    <w:p w:rsidR="00000000" w:rsidDel="00000000" w:rsidP="00000000" w:rsidRDefault="00000000" w:rsidRPr="00000000" w14:paraId="00000098">
      <w:pPr>
        <w:jc w:val="both"/>
        <w:rPr/>
      </w:pPr>
      <w:r w:rsidDel="00000000" w:rsidR="00000000" w:rsidRPr="00000000">
        <w:rPr>
          <w:rtl w:val="0"/>
        </w:rPr>
        <w:t xml:space="preserve">Elle est ouverte dans les cas suivants : </w:t>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lorsqu'un programme informatique malveillant est détecté dans le pli transmis par voie électronique ; </w:t>
      </w:r>
    </w:p>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lorsque le pli électronique est reçu de façon incomplète, hors délai ou n'a pu être ouvert, à condition que sa transmission ait commencé avant la clôture de la remise des plis. </w:t>
      </w:r>
    </w:p>
    <w:p w:rsidR="00000000" w:rsidDel="00000000" w:rsidP="00000000" w:rsidRDefault="00000000" w:rsidRPr="00000000" w14:paraId="0000009B">
      <w:pPr>
        <w:jc w:val="both"/>
        <w:rPr/>
      </w:pPr>
      <w:r w:rsidDel="00000000" w:rsidR="00000000" w:rsidRPr="00000000">
        <w:rPr>
          <w:rtl w:val="0"/>
        </w:rPr>
        <w:t xml:space="preserve">La copie de sauvegarde peut être transmise ou déposée à l'adresse de la mairie.</w:t>
      </w:r>
    </w:p>
    <w:p w:rsidR="00000000" w:rsidDel="00000000" w:rsidP="00000000" w:rsidRDefault="00000000" w:rsidRPr="00000000" w14:paraId="0000009C">
      <w:pPr>
        <w:jc w:val="both"/>
        <w:rPr/>
      </w:pPr>
      <w:r w:rsidDel="00000000" w:rsidR="00000000" w:rsidRPr="00000000">
        <w:rPr>
          <w:rtl w:val="0"/>
        </w:rPr>
        <w:t xml:space="preserve">Aucun format électronique n'est préconisé pour la transmission des documents. Cependant, les fichiers devront être transmis dans des formats largement disponibles. </w:t>
      </w:r>
    </w:p>
    <w:p w:rsidR="00000000" w:rsidDel="00000000" w:rsidP="00000000" w:rsidRDefault="00000000" w:rsidRPr="00000000" w14:paraId="0000009D">
      <w:pPr>
        <w:jc w:val="both"/>
        <w:rPr/>
      </w:pPr>
      <w:r w:rsidDel="00000000" w:rsidR="00000000" w:rsidRPr="00000000">
        <w:rPr>
          <w:rtl w:val="0"/>
        </w:rPr>
        <w:t xml:space="preserve">La signature électronique des documents n'est pas exigée dans le cadre de cette consultation, pour le dépôt des offres. Cependant, la signature électronique du contrat par l’attributaire est exigée après l’attribution des marchés. </w:t>
      </w:r>
    </w:p>
    <w:p w:rsidR="00000000" w:rsidDel="00000000" w:rsidP="00000000" w:rsidRDefault="00000000" w:rsidRPr="00000000" w14:paraId="0000009E">
      <w:pPr>
        <w:jc w:val="both"/>
        <w:rPr/>
      </w:pPr>
      <w:r w:rsidDel="00000000" w:rsidR="00000000" w:rsidRPr="00000000">
        <w:rPr>
          <w:rtl w:val="0"/>
        </w:rPr>
        <w:t xml:space="preserve">Pour signer électroniquement, le candidat peut utiliser l'un des trois formats de signature autorisés par la réglementation (XAdES, CAdES ou PAdES). La commune préconise toutefois l'utilisation d'une signature électronique au format pAdES. Les frais d'accès au réseau et de recours à la signature électronique sont à la charge des candidats.</w:t>
      </w:r>
    </w:p>
    <w:p w:rsidR="00000000" w:rsidDel="00000000" w:rsidP="00000000" w:rsidRDefault="00000000" w:rsidRPr="00000000" w14:paraId="0000009F">
      <w:pPr>
        <w:pStyle w:val="Heading2"/>
        <w:rPr/>
      </w:pPr>
      <w:bookmarkStart w:colFirst="0" w:colLast="0" w:name="_heading=h.oeu9ht9jnpny" w:id="19"/>
      <w:bookmarkEnd w:id="19"/>
      <w:r w:rsidDel="00000000" w:rsidR="00000000" w:rsidRPr="00000000">
        <w:rPr>
          <w:rtl w:val="0"/>
        </w:rPr>
        <w:t xml:space="preserve">6.2 - Transmission sous support papier </w:t>
      </w:r>
    </w:p>
    <w:p w:rsidR="00000000" w:rsidDel="00000000" w:rsidP="00000000" w:rsidRDefault="00000000" w:rsidRPr="00000000" w14:paraId="000000A0">
      <w:pPr>
        <w:rPr/>
      </w:pPr>
      <w:r w:rsidDel="00000000" w:rsidR="00000000" w:rsidRPr="00000000">
        <w:rPr>
          <w:rtl w:val="0"/>
        </w:rPr>
        <w:t xml:space="preserve">La transmission des plis par voie électronique est imposée pour cette consultation. Par conséquent, la transmission par voie papier n'est pas autorisée. </w:t>
      </w:r>
    </w:p>
    <w:p w:rsidR="00000000" w:rsidDel="00000000" w:rsidP="00000000" w:rsidRDefault="00000000" w:rsidRPr="00000000" w14:paraId="000000A1">
      <w:pPr>
        <w:pStyle w:val="Heading1"/>
        <w:rPr/>
      </w:pPr>
      <w:bookmarkStart w:colFirst="0" w:colLast="0" w:name="_heading=h.pvpyp7y8rnrh" w:id="20"/>
      <w:bookmarkEnd w:id="20"/>
      <w:r w:rsidDel="00000000" w:rsidR="00000000" w:rsidRPr="00000000">
        <w:rPr>
          <w:rtl w:val="0"/>
        </w:rPr>
        <w:t xml:space="preserve">7 - Examen des candidatures et des offres </w:t>
      </w:r>
    </w:p>
    <w:p w:rsidR="00000000" w:rsidDel="00000000" w:rsidP="00000000" w:rsidRDefault="00000000" w:rsidRPr="00000000" w14:paraId="000000A2">
      <w:pPr>
        <w:pStyle w:val="Heading2"/>
        <w:rPr/>
      </w:pPr>
      <w:bookmarkStart w:colFirst="0" w:colLast="0" w:name="_heading=h.5dso5nmxnn6r" w:id="21"/>
      <w:bookmarkEnd w:id="21"/>
      <w:r w:rsidDel="00000000" w:rsidR="00000000" w:rsidRPr="00000000">
        <w:rPr>
          <w:rtl w:val="0"/>
        </w:rPr>
        <w:t xml:space="preserve">7.1 - Sélection des candidatures </w:t>
      </w:r>
    </w:p>
    <w:p w:rsidR="00000000" w:rsidDel="00000000" w:rsidP="00000000" w:rsidRDefault="00000000" w:rsidRPr="00000000" w14:paraId="000000A3">
      <w:pPr>
        <w:rPr/>
      </w:pPr>
      <w:r w:rsidDel="00000000" w:rsidR="00000000" w:rsidRPr="00000000">
        <w:rPr>
          <w:rtl w:val="0"/>
        </w:rP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 </w:t>
      </w:r>
    </w:p>
    <w:p w:rsidR="00000000" w:rsidDel="00000000" w:rsidP="00000000" w:rsidRDefault="00000000" w:rsidRPr="00000000" w14:paraId="000000A4">
      <w:pPr>
        <w:rPr/>
      </w:pPr>
      <w:r w:rsidDel="00000000" w:rsidR="00000000" w:rsidRPr="00000000">
        <w:rPr>
          <w:rtl w:val="0"/>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rsidR="00000000" w:rsidDel="00000000" w:rsidP="00000000" w:rsidRDefault="00000000" w:rsidRPr="00000000" w14:paraId="000000A5">
      <w:pPr>
        <w:pStyle w:val="Heading2"/>
        <w:rPr/>
      </w:pPr>
      <w:bookmarkStart w:colFirst="0" w:colLast="0" w:name="_heading=h.cxmrm12eenjm" w:id="22"/>
      <w:bookmarkEnd w:id="22"/>
      <w:r w:rsidDel="00000000" w:rsidR="00000000" w:rsidRPr="00000000">
        <w:rPr>
          <w:rtl w:val="0"/>
        </w:rPr>
        <w:t xml:space="preserve">7.2 - Attribution des marchés </w:t>
      </w:r>
    </w:p>
    <w:p w:rsidR="00000000" w:rsidDel="00000000" w:rsidP="00000000" w:rsidRDefault="00000000" w:rsidRPr="00000000" w14:paraId="000000A6">
      <w:pPr>
        <w:rPr/>
      </w:pPr>
      <w:r w:rsidDel="00000000" w:rsidR="00000000" w:rsidRPr="00000000">
        <w:rPr>
          <w:rtl w:val="0"/>
        </w:rPr>
        <w:t xml:space="preserve">Le jugement des offres sera effectué dans les conditions prévues aux articles L.2152-1 à L.2152-4, R. 2152-1 et R. 2152-2 du Code de la commande publique et donnera lieu à un classement des offres. </w:t>
      </w:r>
    </w:p>
    <w:p w:rsidR="00000000" w:rsidDel="00000000" w:rsidP="00000000" w:rsidRDefault="00000000" w:rsidRPr="00000000" w14:paraId="000000A7">
      <w:pPr>
        <w:rPr/>
      </w:pPr>
      <w:r w:rsidDel="00000000" w:rsidR="00000000" w:rsidRPr="00000000">
        <w:rPr>
          <w:rtl w:val="0"/>
        </w:rPr>
        <w:t xml:space="preserve">L'attention des candidats est attirée sur le fait que toute offre irrégulière pourra faire l'objet d'une demande de régularisation, à condition qu'elle ne soit pas anormalement basse. En revanche, toute offre inacceptable ou inappropriée sera éliminée.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Les critères retenus pour le jugement des offres sont pondérés de la manière suivante :</w:t>
      </w:r>
    </w:p>
    <w:tbl>
      <w:tblPr>
        <w:tblStyle w:val="Table6"/>
        <w:tblW w:w="10598.0" w:type="dxa"/>
        <w:jc w:val="left"/>
        <w:tblInd w:w="-1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55"/>
        <w:gridCol w:w="1843"/>
        <w:tblGridChange w:id="0">
          <w:tblGrid>
            <w:gridCol w:w="8755"/>
            <w:gridCol w:w="1843"/>
          </w:tblGrid>
        </w:tblGridChange>
      </w:tblGrid>
      <w:tr>
        <w:trPr>
          <w:cantSplit w:val="0"/>
          <w:trHeight w:val="93" w:hRule="atLeast"/>
          <w:tblHeader w:val="0"/>
        </w:trPr>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Critères </w:t>
            </w:r>
          </w:p>
        </w:tc>
        <w:tc>
          <w:tcP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Pondération</w:t>
            </w:r>
          </w:p>
        </w:tc>
      </w:tr>
      <w:tr>
        <w:trPr>
          <w:cantSplit w:val="0"/>
          <w:trHeight w:val="2423" w:hRule="atLeast"/>
          <w:tblHeader w:val="0"/>
        </w:trPr>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0"/>
                <w:szCs w:val="20"/>
                <w:u w:val="none"/>
                <w:shd w:fill="auto" w:val="clear"/>
                <w:vertAlign w:val="baseline"/>
                <w:rtl w:val="0"/>
              </w:rPr>
              <w:t xml:space="preserve">1-Prix des prestations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Formule utilisée :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N (i) = 40 x (P(m)) / P (i))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Dans laquelle :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 N (i) est la note attribuée à l'offre de prix du candidat (i);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 P (i) est le prix de l'offre du candidat (i);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 P (m) est le prix de l'offre la moins disante.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Si la note du candidat est négative, on attribuera une note de 0/40.</w:t>
            </w:r>
            <w:r w:rsidDel="00000000" w:rsidR="00000000" w:rsidRPr="00000000">
              <w:rPr>
                <w:rtl w:val="0"/>
              </w:rPr>
            </w:r>
          </w:p>
        </w:tc>
        <w:tc>
          <w:tcP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0"/>
                <w:szCs w:val="20"/>
                <w:u w:val="none"/>
                <w:shd w:fill="auto" w:val="clear"/>
                <w:vertAlign w:val="baseline"/>
                <w:rtl w:val="0"/>
              </w:rPr>
              <w:t xml:space="preserve">40.0</w:t>
            </w:r>
          </w:p>
        </w:tc>
      </w:tr>
      <w:tr>
        <w:trPr>
          <w:cantSplit w:val="0"/>
          <w:trHeight w:val="460" w:hRule="atLeast"/>
          <w:tblHeader w:val="0"/>
        </w:trPr>
        <w:tc>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0"/>
                <w:szCs w:val="20"/>
                <w:u w:val="none"/>
                <w:shd w:fill="auto" w:val="clear"/>
                <w:vertAlign w:val="baseline"/>
                <w:rtl w:val="0"/>
              </w:rPr>
              <w:t xml:space="preserve">2-Valeur technique </w:t>
            </w:r>
          </w:p>
        </w:tc>
        <w:tc>
          <w:tcP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0"/>
                <w:szCs w:val="20"/>
                <w:u w:val="none"/>
                <w:shd w:fill="auto" w:val="clear"/>
                <w:vertAlign w:val="baseline"/>
                <w:rtl w:val="0"/>
              </w:rPr>
              <w:t xml:space="preserve">50.0</w:t>
            </w:r>
          </w:p>
        </w:tc>
      </w:tr>
      <w:tr>
        <w:trPr>
          <w:cantSplit w:val="0"/>
          <w:trHeight w:val="439" w:hRule="atLeast"/>
          <w:tblHeader w:val="0"/>
        </w:trPr>
        <w:tc>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2.1-Méthodologie proposée pour la conduite de l'étude - adéquation et cohérence </w:t>
            </w:r>
            <w:r w:rsidDel="00000000" w:rsidR="00000000" w:rsidRPr="00000000">
              <w:rPr>
                <w:rtl w:val="0"/>
              </w:rPr>
            </w:r>
          </w:p>
        </w:tc>
        <w:tc>
          <w:tcP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20.0</w:t>
            </w:r>
            <w:r w:rsidDel="00000000" w:rsidR="00000000" w:rsidRPr="00000000">
              <w:rPr>
                <w:rtl w:val="0"/>
              </w:rPr>
            </w:r>
          </w:p>
        </w:tc>
      </w:tr>
      <w:tr>
        <w:trPr>
          <w:cantSplit w:val="0"/>
          <w:trHeight w:val="873" w:hRule="atLeast"/>
          <w:tblHeader w:val="0"/>
        </w:trPr>
        <w:tc>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2.2-Moyens humains (présentation détaillée de l'équipe / intervenants pour chaque phase - CV, rôles ; temps d'intervention...) et moyens techniques dédiés à la prestation (cartographie ; livrables...) </w:t>
            </w:r>
            <w:r w:rsidDel="00000000" w:rsidR="00000000" w:rsidRPr="00000000">
              <w:rPr>
                <w:rtl w:val="0"/>
              </w:rPr>
            </w:r>
          </w:p>
        </w:tc>
        <w:tc>
          <w:tcP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15.0</w:t>
            </w: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2.3-Concertation avec les acteurs (organisation mise en place ; période de concertation ; type de concertation ; livrables...) </w:t>
            </w:r>
            <w:r w:rsidDel="00000000" w:rsidR="00000000" w:rsidRPr="00000000">
              <w:rPr>
                <w:rtl w:val="0"/>
              </w:rPr>
            </w:r>
          </w:p>
        </w:tc>
        <w:tc>
          <w:tcP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10.0</w:t>
            </w: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2.4-Références sur des missions similaires (accompagnement de stratégies ; accompagnement technique de collectivités sur la réalisation de SDGEP </w:t>
            </w:r>
            <w:r w:rsidDel="00000000" w:rsidR="00000000" w:rsidRPr="00000000">
              <w:rPr>
                <w:rtl w:val="0"/>
              </w:rPr>
            </w:r>
          </w:p>
        </w:tc>
        <w:tc>
          <w:tcP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5.0</w:t>
            </w:r>
            <w:r w:rsidDel="00000000" w:rsidR="00000000" w:rsidRPr="00000000">
              <w:rPr>
                <w:rtl w:val="0"/>
              </w:rPr>
            </w:r>
          </w:p>
        </w:tc>
      </w:tr>
      <w:tr>
        <w:trPr>
          <w:cantSplit w:val="0"/>
          <w:trHeight w:val="396" w:hRule="atLeast"/>
          <w:tblHeader w:val="0"/>
        </w:trPr>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0"/>
                <w:szCs w:val="20"/>
                <w:u w:val="none"/>
                <w:shd w:fill="auto" w:val="clear"/>
                <w:vertAlign w:val="baseline"/>
                <w:rtl w:val="0"/>
              </w:rPr>
              <w:t xml:space="preserve">3-Organisation et planning</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0"/>
                <w:szCs w:val="20"/>
                <w:u w:val="none"/>
                <w:shd w:fill="auto" w:val="clear"/>
                <w:vertAlign w:val="baseline"/>
                <w:rtl w:val="0"/>
              </w:rPr>
              <w:t xml:space="preserve">10.0</w:t>
            </w:r>
          </w:p>
        </w:tc>
      </w:tr>
      <w:tr>
        <w:trPr>
          <w:cantSplit w:val="0"/>
          <w:trHeight w:val="396" w:hRule="atLeast"/>
          <w:tblHeader w:val="0"/>
        </w:trPr>
        <w:tc>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38"/>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3.1-Durée et cohérence du calendrier</w:t>
            </w:r>
          </w:p>
        </w:tc>
        <w:tc>
          <w:tcP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1"/>
                <w:iCs w:val="1"/>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8.0</w:t>
            </w:r>
          </w:p>
        </w:tc>
      </w:tr>
      <w:tr>
        <w:trPr>
          <w:cantSplit w:val="0"/>
          <w:trHeight w:val="396" w:hRule="atLeast"/>
          <w:tblHeader w:val="0"/>
        </w:trPr>
        <w:tc>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38"/>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3.3-Gestion des validations</w:t>
            </w:r>
          </w:p>
        </w:tc>
        <w:tc>
          <w:tcPr>
            <w:vAlign w:val="cente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bCs w:val="0"/>
                <w:i w:val="1"/>
                <w:iCs w:val="1"/>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0"/>
                <w:szCs w:val="20"/>
                <w:u w:val="none"/>
                <w:shd w:fill="auto" w:val="clear"/>
                <w:vertAlign w:val="baseline"/>
                <w:rtl w:val="0"/>
              </w:rPr>
              <w:t xml:space="preserve">2.0</w:t>
            </w:r>
          </w:p>
        </w:tc>
      </w:tr>
    </w:tbl>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t xml:space="preserve">Dans le cas où des erreurs purement matérielles seraient constatées (erreur d’addition, …) entre les indications portées sur la DPGF et l’AE, ce dernier prévaudra. Le candidat sera invité à confirmer l'offre ainsi rectifiée ; en cas de refus, son offre sera éliminée comme non cohérente.</w:t>
      </w:r>
    </w:p>
    <w:p w:rsidR="00000000" w:rsidDel="00000000" w:rsidP="00000000" w:rsidRDefault="00000000" w:rsidRPr="00000000" w14:paraId="000000D1">
      <w:pPr>
        <w:pStyle w:val="Heading2"/>
        <w:rPr/>
      </w:pPr>
      <w:bookmarkStart w:colFirst="0" w:colLast="0" w:name="_heading=h.i00s0cxn9pvn" w:id="23"/>
      <w:bookmarkEnd w:id="23"/>
      <w:r w:rsidDel="00000000" w:rsidR="00000000" w:rsidRPr="00000000">
        <w:rPr>
          <w:rtl w:val="0"/>
        </w:rPr>
        <w:t xml:space="preserve">7.3 - Suite à donner à la consultation</w:t>
      </w:r>
    </w:p>
    <w:p w:rsidR="00000000" w:rsidDel="00000000" w:rsidP="00000000" w:rsidRDefault="00000000" w:rsidRPr="00000000" w14:paraId="000000D2">
      <w:pPr>
        <w:rPr/>
      </w:pPr>
      <w:r w:rsidDel="00000000" w:rsidR="00000000" w:rsidRPr="00000000">
        <w:rPr>
          <w:rtl w:val="0"/>
        </w:rPr>
        <w:t xml:space="preserve">Après examen des offres, le pouvoir adjudicateur engagera des négociations avec les 3 candidats sélectionnés. Toutefois, le pouvoir adjudicateur se réserve la possibilité d'attribuer le marché sur la base des offres initiales, sans négociation.</w:t>
      </w:r>
    </w:p>
    <w:p w:rsidR="00000000" w:rsidDel="00000000" w:rsidP="00000000" w:rsidRDefault="00000000" w:rsidRPr="00000000" w14:paraId="000000D3">
      <w:pPr>
        <w:rPr/>
      </w:pPr>
      <w:r w:rsidDel="00000000" w:rsidR="00000000" w:rsidRPr="00000000">
        <w:rPr>
          <w:rtl w:val="0"/>
        </w:rPr>
        <w:t xml:space="preserve">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000000" w:rsidDel="00000000" w:rsidP="00000000" w:rsidRDefault="00000000" w:rsidRPr="00000000" w14:paraId="000000D4">
      <w:pPr>
        <w:pStyle w:val="Heading1"/>
        <w:rPr/>
      </w:pPr>
      <w:bookmarkStart w:colFirst="0" w:colLast="0" w:name="_heading=h.2m6297n1kigg" w:id="24"/>
      <w:bookmarkEnd w:id="24"/>
      <w:r w:rsidDel="00000000" w:rsidR="00000000" w:rsidRPr="00000000">
        <w:rPr>
          <w:rtl w:val="0"/>
        </w:rPr>
        <w:t xml:space="preserve">8 - Renseignements complémentaires</w:t>
      </w:r>
    </w:p>
    <w:p w:rsidR="00000000" w:rsidDel="00000000" w:rsidP="00000000" w:rsidRDefault="00000000" w:rsidRPr="00000000" w14:paraId="000000D5">
      <w:pPr>
        <w:pStyle w:val="Heading2"/>
        <w:rPr/>
      </w:pPr>
      <w:bookmarkStart w:colFirst="0" w:colLast="0" w:name="_heading=h.1exnf75b8hab" w:id="25"/>
      <w:bookmarkEnd w:id="25"/>
      <w:r w:rsidDel="00000000" w:rsidR="00000000" w:rsidRPr="00000000">
        <w:rPr>
          <w:rtl w:val="0"/>
        </w:rPr>
        <w:t xml:space="preserve">8.1 - Adresses supplémentaires et points de contact</w:t>
      </w:r>
    </w:p>
    <w:p w:rsidR="00000000" w:rsidDel="00000000" w:rsidP="00000000" w:rsidRDefault="00000000" w:rsidRPr="00000000" w14:paraId="000000D6">
      <w:pPr>
        <w:rPr/>
      </w:pPr>
      <w:r w:rsidDel="00000000" w:rsidR="00000000" w:rsidRPr="00000000">
        <w:rPr>
          <w:rtl w:val="0"/>
        </w:rPr>
        <w:t xml:space="preserve">Pour tout renseignement complémentaire concernant cette consultation, les candidats transmettent impérativement leur demande par l'intermédiaire du profil d'acheteur du pouvoir adjudicateur, dont l'adresse URL est la suivante : https://www.marches.megalis.bretagne.bzh</w:t>
      </w:r>
    </w:p>
    <w:p w:rsidR="00000000" w:rsidDel="00000000" w:rsidP="00000000" w:rsidRDefault="00000000" w:rsidRPr="00000000" w14:paraId="000000D7">
      <w:pPr>
        <w:rPr/>
      </w:pPr>
      <w:r w:rsidDel="00000000" w:rsidR="00000000" w:rsidRPr="00000000">
        <w:rPr>
          <w:rtl w:val="0"/>
        </w:rPr>
        <w:t xml:space="preserve">Cette demande doit intervenir au plus tard 10 jours avant la date limite de remise des plis.</w:t>
      </w:r>
    </w:p>
    <w:p w:rsidR="00000000" w:rsidDel="00000000" w:rsidP="00000000" w:rsidRDefault="00000000" w:rsidRPr="00000000" w14:paraId="000000D8">
      <w:pPr>
        <w:rPr/>
      </w:pPr>
      <w:r w:rsidDel="00000000" w:rsidR="00000000" w:rsidRPr="00000000">
        <w:rPr>
          <w:rtl w:val="0"/>
        </w:rPr>
        <w:t xml:space="preserve">Une réponse sera alors adressée, à toutes les entreprises ayant retiré le dossier ou l'ayant téléchargé après identification, 6 jours au plus tard avant la date limite de remise des plis.</w:t>
      </w:r>
    </w:p>
    <w:p w:rsidR="00000000" w:rsidDel="00000000" w:rsidP="00000000" w:rsidRDefault="00000000" w:rsidRPr="00000000" w14:paraId="000000D9">
      <w:pPr>
        <w:pStyle w:val="Heading2"/>
        <w:rPr/>
      </w:pPr>
      <w:bookmarkStart w:colFirst="0" w:colLast="0" w:name="_heading=h.iskkqwihgsn1" w:id="26"/>
      <w:bookmarkEnd w:id="26"/>
      <w:r w:rsidDel="00000000" w:rsidR="00000000" w:rsidRPr="00000000">
        <w:rPr>
          <w:rtl w:val="0"/>
        </w:rPr>
        <w:t xml:space="preserve">8.2 - Procédures de recours</w:t>
      </w:r>
    </w:p>
    <w:p w:rsidR="00000000" w:rsidDel="00000000" w:rsidP="00000000" w:rsidRDefault="00000000" w:rsidRPr="00000000" w14:paraId="000000DA">
      <w:pPr>
        <w:spacing w:after="0" w:lineRule="auto"/>
        <w:rPr/>
      </w:pPr>
      <w:r w:rsidDel="00000000" w:rsidR="00000000" w:rsidRPr="00000000">
        <w:rPr>
          <w:rtl w:val="0"/>
        </w:rPr>
        <w:t xml:space="preserve">Les voies de recours ouvertes aux candidats sont les suivantes : Référé précontractuel prévu à l'article 1441-2 du Code de procédure civile, et pouvant être exercé avant la signature du contrat. Référé contractuel prévu à l'article 1441-3 du Code de procédure civile, et pouvant être exercé dans les délais prévus à l'article précité.</w:t>
      </w:r>
    </w:p>
    <w:p w:rsidR="00000000" w:rsidDel="00000000" w:rsidP="00000000" w:rsidRDefault="00000000" w:rsidRPr="00000000" w14:paraId="000000DB">
      <w:pPr>
        <w:spacing w:after="0" w:lineRule="auto"/>
        <w:rPr>
          <w:sz w:val="20"/>
          <w:szCs w:val="20"/>
        </w:rPr>
      </w:pPr>
      <w:r w:rsidDel="00000000" w:rsidR="00000000" w:rsidRPr="00000000">
        <w:rPr>
          <w:rtl w:val="0"/>
        </w:rPr>
      </w:r>
    </w:p>
    <w:p w:rsidR="00000000" w:rsidDel="00000000" w:rsidP="00000000" w:rsidRDefault="00000000" w:rsidRPr="00000000" w14:paraId="000000DC">
      <w:pPr>
        <w:spacing w:after="0" w:lineRule="auto"/>
        <w:rPr>
          <w:sz w:val="20"/>
          <w:szCs w:val="20"/>
        </w:rPr>
      </w:pPr>
      <w:r w:rsidDel="00000000" w:rsidR="00000000" w:rsidRPr="00000000">
        <w:rPr>
          <w:sz w:val="20"/>
          <w:szCs w:val="20"/>
          <w:rtl w:val="0"/>
        </w:rPr>
        <w:t xml:space="preserve">Le tribunal territorialement compétent est :</w:t>
      </w:r>
    </w:p>
    <w:p w:rsidR="00000000" w:rsidDel="00000000" w:rsidP="00000000" w:rsidRDefault="00000000" w:rsidRPr="00000000" w14:paraId="000000DD">
      <w:pPr>
        <w:spacing w:after="0" w:lineRule="auto"/>
        <w:rPr>
          <w:sz w:val="20"/>
          <w:szCs w:val="20"/>
        </w:rPr>
      </w:pPr>
      <w:r w:rsidDel="00000000" w:rsidR="00000000" w:rsidRPr="00000000">
        <w:rPr>
          <w:sz w:val="20"/>
          <w:szCs w:val="20"/>
          <w:rtl w:val="0"/>
        </w:rPr>
        <w:t xml:space="preserve">Tribunal Administratif de Rennes</w:t>
      </w:r>
    </w:p>
    <w:p w:rsidR="00000000" w:rsidDel="00000000" w:rsidP="00000000" w:rsidRDefault="00000000" w:rsidRPr="00000000" w14:paraId="000000DE">
      <w:pPr>
        <w:spacing w:after="0" w:lineRule="auto"/>
        <w:rPr>
          <w:sz w:val="20"/>
          <w:szCs w:val="20"/>
        </w:rPr>
      </w:pPr>
      <w:r w:rsidDel="00000000" w:rsidR="00000000" w:rsidRPr="00000000">
        <w:rPr>
          <w:sz w:val="20"/>
          <w:szCs w:val="20"/>
          <w:rtl w:val="0"/>
        </w:rPr>
        <w:t xml:space="preserve">3 Contour de la Motte</w:t>
      </w:r>
    </w:p>
    <w:p w:rsidR="00000000" w:rsidDel="00000000" w:rsidP="00000000" w:rsidRDefault="00000000" w:rsidRPr="00000000" w14:paraId="000000DF">
      <w:pPr>
        <w:spacing w:after="0" w:lineRule="auto"/>
        <w:rPr>
          <w:sz w:val="20"/>
          <w:szCs w:val="20"/>
        </w:rPr>
      </w:pPr>
      <w:r w:rsidDel="00000000" w:rsidR="00000000" w:rsidRPr="00000000">
        <w:rPr>
          <w:sz w:val="20"/>
          <w:szCs w:val="20"/>
          <w:rtl w:val="0"/>
        </w:rPr>
        <w:t xml:space="preserve">CS44416</w:t>
      </w:r>
    </w:p>
    <w:p w:rsidR="00000000" w:rsidDel="00000000" w:rsidP="00000000" w:rsidRDefault="00000000" w:rsidRPr="00000000" w14:paraId="000000E0">
      <w:pPr>
        <w:spacing w:after="0" w:lineRule="auto"/>
        <w:rPr>
          <w:sz w:val="20"/>
          <w:szCs w:val="20"/>
        </w:rPr>
      </w:pPr>
      <w:r w:rsidDel="00000000" w:rsidR="00000000" w:rsidRPr="00000000">
        <w:rPr>
          <w:sz w:val="20"/>
          <w:szCs w:val="20"/>
          <w:rtl w:val="0"/>
        </w:rPr>
        <w:t xml:space="preserve">35044 RENNES CEDEX</w:t>
      </w:r>
    </w:p>
    <w:p w:rsidR="00000000" w:rsidDel="00000000" w:rsidP="00000000" w:rsidRDefault="00000000" w:rsidRPr="00000000" w14:paraId="000000E1">
      <w:pPr>
        <w:spacing w:after="0" w:lineRule="auto"/>
        <w:rPr>
          <w:sz w:val="20"/>
          <w:szCs w:val="20"/>
        </w:rPr>
      </w:pPr>
      <w:r w:rsidDel="00000000" w:rsidR="00000000" w:rsidRPr="00000000">
        <w:rPr>
          <w:rtl w:val="0"/>
        </w:rPr>
      </w:r>
    </w:p>
    <w:p w:rsidR="00000000" w:rsidDel="00000000" w:rsidP="00000000" w:rsidRDefault="00000000" w:rsidRPr="00000000" w14:paraId="000000E2">
      <w:pPr>
        <w:spacing w:after="0" w:lineRule="auto"/>
        <w:rPr>
          <w:sz w:val="20"/>
          <w:szCs w:val="20"/>
        </w:rPr>
      </w:pPr>
      <w:r w:rsidDel="00000000" w:rsidR="00000000" w:rsidRPr="00000000">
        <w:rPr>
          <w:sz w:val="20"/>
          <w:szCs w:val="20"/>
          <w:rtl w:val="0"/>
        </w:rPr>
        <w:t xml:space="preserve">Pour obtenir des renseignements relatifs à l'introduction des recours, les candidats devront s'adresser à :</w:t>
      </w:r>
    </w:p>
    <w:p w:rsidR="00000000" w:rsidDel="00000000" w:rsidP="00000000" w:rsidRDefault="00000000" w:rsidRPr="00000000" w14:paraId="000000E3">
      <w:pPr>
        <w:spacing w:after="0" w:lineRule="auto"/>
        <w:rPr>
          <w:sz w:val="20"/>
          <w:szCs w:val="20"/>
        </w:rPr>
      </w:pPr>
      <w:r w:rsidDel="00000000" w:rsidR="00000000" w:rsidRPr="00000000">
        <w:rPr>
          <w:sz w:val="20"/>
          <w:szCs w:val="20"/>
          <w:rtl w:val="0"/>
        </w:rPr>
        <w:t xml:space="preserve">Tribunal Administratif de Rennes</w:t>
      </w:r>
    </w:p>
    <w:p w:rsidR="00000000" w:rsidDel="00000000" w:rsidP="00000000" w:rsidRDefault="00000000" w:rsidRPr="00000000" w14:paraId="000000E4">
      <w:pPr>
        <w:spacing w:after="0" w:lineRule="auto"/>
        <w:rPr>
          <w:sz w:val="20"/>
          <w:szCs w:val="20"/>
        </w:rPr>
      </w:pPr>
      <w:r w:rsidDel="00000000" w:rsidR="00000000" w:rsidRPr="00000000">
        <w:rPr>
          <w:sz w:val="20"/>
          <w:szCs w:val="20"/>
          <w:rtl w:val="0"/>
        </w:rPr>
        <w:t xml:space="preserve">3 Contour de la Motte</w:t>
      </w:r>
    </w:p>
    <w:p w:rsidR="00000000" w:rsidDel="00000000" w:rsidP="00000000" w:rsidRDefault="00000000" w:rsidRPr="00000000" w14:paraId="000000E5">
      <w:pPr>
        <w:spacing w:after="0" w:lineRule="auto"/>
        <w:rPr>
          <w:sz w:val="20"/>
          <w:szCs w:val="20"/>
        </w:rPr>
      </w:pPr>
      <w:r w:rsidDel="00000000" w:rsidR="00000000" w:rsidRPr="00000000">
        <w:rPr>
          <w:sz w:val="20"/>
          <w:szCs w:val="20"/>
          <w:rtl w:val="0"/>
        </w:rPr>
        <w:t xml:space="preserve">CS44416</w:t>
      </w:r>
    </w:p>
    <w:p w:rsidR="00000000" w:rsidDel="00000000" w:rsidP="00000000" w:rsidRDefault="00000000" w:rsidRPr="00000000" w14:paraId="000000E6">
      <w:pPr>
        <w:spacing w:after="0" w:lineRule="auto"/>
        <w:rPr>
          <w:sz w:val="20"/>
          <w:szCs w:val="20"/>
        </w:rPr>
      </w:pPr>
      <w:r w:rsidDel="00000000" w:rsidR="00000000" w:rsidRPr="00000000">
        <w:rPr>
          <w:sz w:val="20"/>
          <w:szCs w:val="20"/>
          <w:rtl w:val="0"/>
        </w:rPr>
        <w:t xml:space="preserve">35044 RENNES CEDEX</w:t>
      </w:r>
    </w:p>
    <w:p w:rsidR="00000000" w:rsidDel="00000000" w:rsidP="00000000" w:rsidRDefault="00000000" w:rsidRPr="00000000" w14:paraId="000000E7">
      <w:pPr>
        <w:spacing w:after="0" w:lineRule="auto"/>
        <w:rPr>
          <w:sz w:val="20"/>
          <w:szCs w:val="20"/>
        </w:rPr>
      </w:pPr>
      <w:r w:rsidDel="00000000" w:rsidR="00000000" w:rsidRPr="00000000">
        <w:rPr>
          <w:rtl w:val="0"/>
        </w:rPr>
      </w:r>
    </w:p>
    <w:p w:rsidR="00000000" w:rsidDel="00000000" w:rsidP="00000000" w:rsidRDefault="00000000" w:rsidRPr="00000000" w14:paraId="000000E8">
      <w:pPr>
        <w:spacing w:after="0" w:lineRule="auto"/>
        <w:rPr>
          <w:sz w:val="20"/>
          <w:szCs w:val="20"/>
        </w:rPr>
      </w:pPr>
      <w:r w:rsidDel="00000000" w:rsidR="00000000" w:rsidRPr="00000000">
        <w:rPr>
          <w:sz w:val="20"/>
          <w:szCs w:val="20"/>
          <w:rtl w:val="0"/>
        </w:rPr>
        <w:t xml:space="preserve">En cas de difficultés survenant lors de la procédure de passation, l'organe chargé de jouer le rôle de</w:t>
      </w:r>
    </w:p>
    <w:p w:rsidR="00000000" w:rsidDel="00000000" w:rsidP="00000000" w:rsidRDefault="00000000" w:rsidRPr="00000000" w14:paraId="000000E9">
      <w:pPr>
        <w:spacing w:after="0" w:lineRule="auto"/>
        <w:rPr>
          <w:sz w:val="20"/>
          <w:szCs w:val="20"/>
        </w:rPr>
      </w:pPr>
      <w:r w:rsidDel="00000000" w:rsidR="00000000" w:rsidRPr="00000000">
        <w:rPr>
          <w:sz w:val="20"/>
          <w:szCs w:val="20"/>
          <w:rtl w:val="0"/>
        </w:rPr>
        <w:t xml:space="preserve">médiateur est :</w:t>
      </w:r>
    </w:p>
    <w:p w:rsidR="00000000" w:rsidDel="00000000" w:rsidP="00000000" w:rsidRDefault="00000000" w:rsidRPr="00000000" w14:paraId="000000EA">
      <w:pPr>
        <w:spacing w:after="0" w:lineRule="auto"/>
        <w:rPr>
          <w:sz w:val="20"/>
          <w:szCs w:val="20"/>
        </w:rPr>
      </w:pPr>
      <w:r w:rsidDel="00000000" w:rsidR="00000000" w:rsidRPr="00000000">
        <w:rPr>
          <w:sz w:val="20"/>
          <w:szCs w:val="20"/>
          <w:rtl w:val="0"/>
        </w:rPr>
        <w:t xml:space="preserve">Tribunal Administratif de Rennes</w:t>
      </w:r>
    </w:p>
    <w:p w:rsidR="00000000" w:rsidDel="00000000" w:rsidP="00000000" w:rsidRDefault="00000000" w:rsidRPr="00000000" w14:paraId="000000EB">
      <w:pPr>
        <w:spacing w:after="0" w:lineRule="auto"/>
        <w:rPr>
          <w:sz w:val="20"/>
          <w:szCs w:val="20"/>
        </w:rPr>
      </w:pPr>
      <w:r w:rsidDel="00000000" w:rsidR="00000000" w:rsidRPr="00000000">
        <w:rPr>
          <w:sz w:val="20"/>
          <w:szCs w:val="20"/>
          <w:rtl w:val="0"/>
        </w:rPr>
        <w:t xml:space="preserve">3 Contour de la Motte</w:t>
      </w:r>
    </w:p>
    <w:p w:rsidR="00000000" w:rsidDel="00000000" w:rsidP="00000000" w:rsidRDefault="00000000" w:rsidRPr="00000000" w14:paraId="000000EC">
      <w:pPr>
        <w:spacing w:after="0" w:lineRule="auto"/>
        <w:rPr>
          <w:sz w:val="20"/>
          <w:szCs w:val="20"/>
        </w:rPr>
      </w:pPr>
      <w:r w:rsidDel="00000000" w:rsidR="00000000" w:rsidRPr="00000000">
        <w:rPr>
          <w:sz w:val="20"/>
          <w:szCs w:val="20"/>
          <w:rtl w:val="0"/>
        </w:rPr>
        <w:t xml:space="preserve">CS44416</w:t>
      </w:r>
    </w:p>
    <w:p w:rsidR="00000000" w:rsidDel="00000000" w:rsidP="00000000" w:rsidRDefault="00000000" w:rsidRPr="00000000" w14:paraId="000000ED">
      <w:pPr>
        <w:spacing w:after="0" w:lineRule="auto"/>
        <w:rPr>
          <w:sz w:val="20"/>
          <w:szCs w:val="20"/>
        </w:rPr>
      </w:pPr>
      <w:r w:rsidDel="00000000" w:rsidR="00000000" w:rsidRPr="00000000">
        <w:rPr>
          <w:sz w:val="20"/>
          <w:szCs w:val="20"/>
          <w:rtl w:val="0"/>
        </w:rPr>
        <w:t xml:space="preserve">35044 RENNES CEDEX</w:t>
      </w:r>
    </w:p>
    <w:sectPr>
      <w:footerReference r:id="rId8" w:type="default"/>
      <w:pgSz w:h="16838" w:w="11906" w:orient="portrait"/>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ptos" w:cs="Aptos" w:eastAsia="Aptos" w:hAnsi="Aptos"/>
        <w:b w:val="0"/>
        <w:bCs w:val="0"/>
        <w:i w:val="1"/>
        <w:iCs w:val="1"/>
        <w:smallCaps w:val="0"/>
        <w:strike w:val="0"/>
        <w:color w:val="000000"/>
        <w:sz w:val="20"/>
        <w:szCs w:val="20"/>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0"/>
        <w:szCs w:val="20"/>
        <w:u w:val="none"/>
        <w:shd w:fill="auto" w:val="clear"/>
        <w:vertAlign w:val="baseline"/>
        <w:rtl w:val="0"/>
      </w:rPr>
      <w:t xml:space="preserve">Schéma directeur de gestion des eaux pluviales – Acte d’engagement</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Aptos" w:cs="Aptos" w:eastAsia="Aptos" w:hAnsi="Apto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fr"/>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lVsYT4P3aNUhgZBhWHpNLrRd8g==">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