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CFBD2" w14:textId="77777777" w:rsidR="0064388B" w:rsidRPr="00B73ACC" w:rsidRDefault="00C3217C">
      <w:pPr>
        <w:shd w:val="clear" w:color="auto" w:fill="FFFFFF"/>
        <w:jc w:val="center"/>
        <w:rPr>
          <w:rFonts w:ascii="Roboto" w:hAnsi="Roboto" w:cs="Century Gothic"/>
          <w:b/>
        </w:rPr>
      </w:pPr>
      <w:r w:rsidRPr="00B73ACC">
        <w:rPr>
          <w:rFonts w:ascii="Roboto" w:hAnsi="Roboto"/>
          <w:noProof/>
        </w:rPr>
        <w:drawing>
          <wp:inline distT="0" distB="0" distL="0" distR="0" wp14:anchorId="6247363B" wp14:editId="60F85B69">
            <wp:extent cx="723900" cy="652145"/>
            <wp:effectExtent l="0" t="0" r="0" b="0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5828E" w14:textId="77777777" w:rsidR="0064388B" w:rsidRPr="00B73ACC" w:rsidRDefault="0064388B">
      <w:pPr>
        <w:shd w:val="clear" w:color="auto" w:fill="FFFFFF"/>
        <w:jc w:val="center"/>
        <w:rPr>
          <w:rFonts w:ascii="Roboto" w:hAnsi="Roboto" w:cs="Century Gothic"/>
          <w:b/>
          <w:sz w:val="8"/>
          <w:szCs w:val="8"/>
        </w:rPr>
      </w:pPr>
    </w:p>
    <w:p w14:paraId="3E8A6596" w14:textId="77777777" w:rsidR="008B064C" w:rsidRDefault="008B064C" w:rsidP="008B064C">
      <w:pPr>
        <w:jc w:val="center"/>
        <w:rPr>
          <w:rFonts w:ascii="Roboto" w:hAnsi="Roboto" w:cs="Helvetica"/>
          <w:b/>
          <w:color w:val="FFFFFF"/>
          <w:sz w:val="20"/>
          <w:szCs w:val="20"/>
        </w:rPr>
      </w:pPr>
    </w:p>
    <w:p w14:paraId="2FCDB3EE" w14:textId="19ED455B" w:rsidR="0064388B" w:rsidRPr="00B73ACC" w:rsidRDefault="00C3217C" w:rsidP="008B064C">
      <w:pPr>
        <w:jc w:val="center"/>
        <w:rPr>
          <w:rFonts w:ascii="Roboto" w:hAnsi="Roboto"/>
          <w:sz w:val="20"/>
          <w:szCs w:val="20"/>
        </w:rPr>
      </w:pPr>
      <w:r w:rsidRPr="00B73ACC">
        <w:rPr>
          <w:rFonts w:ascii="Roboto" w:hAnsi="Roboto" w:cs="Helvetica"/>
          <w:b/>
          <w:color w:val="000080"/>
          <w:sz w:val="20"/>
          <w:szCs w:val="20"/>
        </w:rPr>
        <w:t>QUESTIONNAIRE POUR LES CANDIDATS NE RÉPONDANT PAS A LA CONSULTATION</w:t>
      </w:r>
    </w:p>
    <w:p w14:paraId="017C7727" w14:textId="77777777" w:rsidR="0064388B" w:rsidRPr="00B73ACC" w:rsidRDefault="0064388B">
      <w:pPr>
        <w:jc w:val="center"/>
        <w:rPr>
          <w:rFonts w:ascii="Roboto" w:hAnsi="Roboto" w:cs="Helvetica"/>
          <w:b/>
          <w:color w:val="000080"/>
          <w:sz w:val="20"/>
          <w:szCs w:val="20"/>
        </w:rPr>
      </w:pPr>
    </w:p>
    <w:p w14:paraId="1EF3B470" w14:textId="77777777" w:rsidR="0064388B" w:rsidRPr="00B73ACC" w:rsidRDefault="00C3217C">
      <w:pPr>
        <w:jc w:val="both"/>
        <w:rPr>
          <w:rFonts w:ascii="Roboto" w:hAnsi="Roboto" w:cs="Helvetica"/>
          <w:color w:val="000000"/>
          <w:sz w:val="20"/>
          <w:szCs w:val="20"/>
        </w:rPr>
      </w:pPr>
      <w:r w:rsidRPr="00B73ACC">
        <w:rPr>
          <w:rFonts w:ascii="Roboto" w:hAnsi="Roboto" w:cs="Helvetica"/>
          <w:color w:val="000000"/>
          <w:sz w:val="20"/>
          <w:szCs w:val="20"/>
        </w:rPr>
        <w:t>Morbihan Energies est soucieux d’être à l’écoute des entreprises et de gérer au mieux les deniers publics. L’objectif de ce questionnaire est d’améliorer la performance de nos achats.</w:t>
      </w:r>
    </w:p>
    <w:p w14:paraId="065DF90B" w14:textId="77777777" w:rsidR="0064388B" w:rsidRPr="00B73ACC" w:rsidRDefault="00C3217C">
      <w:pPr>
        <w:jc w:val="both"/>
        <w:rPr>
          <w:rFonts w:ascii="Roboto" w:hAnsi="Roboto" w:cs="Helvetica"/>
          <w:color w:val="000000"/>
          <w:sz w:val="20"/>
          <w:szCs w:val="20"/>
        </w:rPr>
      </w:pPr>
      <w:r w:rsidRPr="00B73ACC">
        <w:rPr>
          <w:rFonts w:ascii="Roboto" w:hAnsi="Roboto" w:cs="Helvetica"/>
          <w:color w:val="000000"/>
          <w:sz w:val="20"/>
          <w:szCs w:val="20"/>
        </w:rPr>
        <w:t>Son exploitation permettra de prendre en compte vos suggestions pour les consultations futures.</w:t>
      </w:r>
    </w:p>
    <w:p w14:paraId="5E27DD7E" w14:textId="77777777" w:rsidR="0064388B" w:rsidRPr="00B73ACC" w:rsidRDefault="00C3217C">
      <w:pPr>
        <w:pStyle w:val="ParagrapheIndent1"/>
        <w:tabs>
          <w:tab w:val="left" w:pos="1418"/>
        </w:tabs>
        <w:spacing w:line="244" w:lineRule="exact"/>
        <w:ind w:left="1134" w:right="20" w:hanging="1134"/>
        <w:jc w:val="both"/>
        <w:rPr>
          <w:rFonts w:ascii="Roboto" w:hAnsi="Roboto"/>
          <w:szCs w:val="20"/>
        </w:rPr>
      </w:pPr>
      <w:r w:rsidRPr="00B73ACC">
        <w:rPr>
          <w:rFonts w:ascii="Roboto" w:hAnsi="Roboto" w:cs="Helvetica"/>
          <w:color w:val="000000"/>
          <w:szCs w:val="20"/>
        </w:rPr>
        <w:t>Vous pouvez joindre une annexe en référence aux articles des différentes rubriques.</w:t>
      </w:r>
    </w:p>
    <w:p w14:paraId="3A691FB3" w14:textId="77777777" w:rsidR="0064388B" w:rsidRPr="00B73ACC" w:rsidRDefault="0064388B">
      <w:pPr>
        <w:jc w:val="both"/>
        <w:rPr>
          <w:rFonts w:ascii="Roboto" w:hAnsi="Roboto" w:cs="Helvetica"/>
          <w:b/>
          <w:color w:val="C9211E"/>
          <w:sz w:val="20"/>
          <w:szCs w:val="20"/>
        </w:rPr>
      </w:pPr>
    </w:p>
    <w:tbl>
      <w:tblPr>
        <w:tblW w:w="90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7"/>
        <w:gridCol w:w="4535"/>
      </w:tblGrid>
      <w:tr w:rsidR="0064388B" w:rsidRPr="00B73ACC" w14:paraId="48D565D0" w14:textId="77777777" w:rsidTr="00B73ACC">
        <w:tc>
          <w:tcPr>
            <w:tcW w:w="4536" w:type="dxa"/>
            <w:tcBorders>
              <w:top w:val="threeDEngrave" w:sz="2" w:space="0" w:color="000000"/>
              <w:left w:val="threeDEngrave" w:sz="2" w:space="0" w:color="000000"/>
              <w:bottom w:val="threeDEngrave" w:sz="2" w:space="0" w:color="000000"/>
            </w:tcBorders>
            <w:shd w:val="clear" w:color="auto" w:fill="FF0066"/>
          </w:tcPr>
          <w:p w14:paraId="6DF1EDFE" w14:textId="77777777" w:rsidR="0064388B" w:rsidRPr="00B73ACC" w:rsidRDefault="00C3217C">
            <w:pPr>
              <w:pStyle w:val="Contenudetableau"/>
              <w:widowControl w:val="0"/>
              <w:jc w:val="center"/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  <w:t>Raisons pour lesquelles vous n’avez pas répondu à cette consultation</w:t>
            </w:r>
          </w:p>
        </w:tc>
        <w:tc>
          <w:tcPr>
            <w:tcW w:w="4535" w:type="dxa"/>
            <w:tcBorders>
              <w:top w:val="threeDEngrave" w:sz="2" w:space="0" w:color="000000"/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FF0066"/>
          </w:tcPr>
          <w:p w14:paraId="75440C8D" w14:textId="77777777" w:rsidR="0064388B" w:rsidRPr="00B73ACC" w:rsidRDefault="00C3217C">
            <w:pPr>
              <w:pStyle w:val="Contenudetableau"/>
              <w:widowControl w:val="0"/>
              <w:jc w:val="center"/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  <w:t>Réponse</w:t>
            </w:r>
          </w:p>
          <w:p w14:paraId="4EA270FC" w14:textId="77777777" w:rsidR="0064388B" w:rsidRPr="00B73ACC" w:rsidRDefault="00C3217C">
            <w:pPr>
              <w:pStyle w:val="Contenudetableau"/>
              <w:widowControl w:val="0"/>
              <w:jc w:val="center"/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FFFFFF" w:themeColor="background1"/>
                <w:sz w:val="20"/>
                <w:szCs w:val="20"/>
              </w:rPr>
              <w:t>(NON ou OUI avec précisions éventuelles)</w:t>
            </w:r>
          </w:p>
        </w:tc>
      </w:tr>
      <w:tr w:rsidR="0064388B" w:rsidRPr="00B73ACC" w14:paraId="069438A4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3DAFB67A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Votre carnet de commandes est rempli.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18F83EF7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48C74875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7F4D93D0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2 -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 délai nécessaire pour répondre à cette consultation vous a paru trop court.</w:t>
            </w:r>
          </w:p>
          <w:p w14:paraId="5E2C8128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quels délais vous auraient permis de répondre.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6C63B944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344D2D3A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203399EE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3 -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 contenu de ce contrat ne correspond pas à la taille de votre entreprise (moyens humains).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76A508BD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35237B2C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0FCCD993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4 -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Répondre à cette consultation monopolise trop d’énergie.</w:t>
            </w:r>
          </w:p>
          <w:p w14:paraId="40C3852A" w14:textId="77777777" w:rsidR="0064388B" w:rsidRPr="00B73ACC" w:rsidRDefault="00C3217C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vos suggestions.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27D86EE8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2F208F35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2D390600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5 -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Les délais d’exécution sont trop courts, soit en raison de votre carnet de commandes, soit en raison de la taille de votre entreprise.</w:t>
            </w:r>
          </w:p>
          <w:p w14:paraId="7FA7FE9F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les raisons et les délais qui auraient été compatibles.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6AE004AF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774250D0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0F22B1CF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6 -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 niveau technique décrit dans le CCTP ne correspond pas à votre activité ou à une spécificité technique trop spécialisée pour votre entreprise.</w:t>
            </w:r>
          </w:p>
          <w:p w14:paraId="410C059A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Précisez les articles du CCTP correspondant.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053FAFA7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0CAECFE1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46232FC7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7 -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La durée de ce contrat est trop courte par rapport aux investissements à réaliser par votre entreprise.</w:t>
            </w:r>
          </w:p>
          <w:p w14:paraId="4EECB4A4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la durée du contrat qui vous aurait convenu.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69DADF20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518E3CF1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2969AAE1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8 -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Les modalités financières de ce contrat ne vous conviennent pas.</w:t>
            </w:r>
          </w:p>
          <w:p w14:paraId="55CD3FCC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lesquelles ainsi que vos suggestions.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3E154894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4F4648EC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58C4C7F6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9 -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Un aléa pèse sur l’exécution de ce contrat que vous ne souhaitez pas assumer.</w:t>
            </w:r>
          </w:p>
          <w:p w14:paraId="1037FD1D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lequel.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4EF605B8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731C4511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566860D9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10 -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Les documents de la consultation comprennent une ou des erreurs de rédaction, incompréhension.</w:t>
            </w:r>
          </w:p>
          <w:p w14:paraId="7D5839DF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Si oui, préciser quel document et quel article. 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3CB1266F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60575FD3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1E9287BA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11 -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Un ou plusieurs éléments du dossier de la consultation ne vous semblent pas suffisamment détaillés</w:t>
            </w:r>
          </w:p>
          <w:p w14:paraId="766DA96F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le(s)quel(s).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6809F05F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  <w:tr w:rsidR="0064388B" w:rsidRPr="00B73ACC" w14:paraId="1AC0FDA3" w14:textId="77777777">
        <w:tc>
          <w:tcPr>
            <w:tcW w:w="4536" w:type="dxa"/>
            <w:tcBorders>
              <w:left w:val="threeDEngrave" w:sz="2" w:space="0" w:color="000000"/>
              <w:bottom w:val="threeDEngrave" w:sz="2" w:space="0" w:color="000000"/>
            </w:tcBorders>
            <w:shd w:val="clear" w:color="auto" w:fill="auto"/>
          </w:tcPr>
          <w:p w14:paraId="13041066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b/>
                <w:bCs/>
                <w:color w:val="000000"/>
                <w:sz w:val="20"/>
                <w:szCs w:val="20"/>
              </w:rPr>
              <w:t>12 -</w:t>
            </w: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 xml:space="preserve"> Autres motifs </w:t>
            </w:r>
          </w:p>
          <w:p w14:paraId="1DF5DE5E" w14:textId="77777777" w:rsidR="0064388B" w:rsidRPr="00B73ACC" w:rsidRDefault="00C3217C">
            <w:pPr>
              <w:pStyle w:val="Contenudetableau"/>
              <w:widowControl w:val="0"/>
              <w:jc w:val="both"/>
              <w:rPr>
                <w:rFonts w:ascii="Roboto" w:hAnsi="Roboto"/>
                <w:color w:val="000000"/>
                <w:sz w:val="20"/>
                <w:szCs w:val="20"/>
              </w:rPr>
            </w:pPr>
            <w:r w:rsidRPr="00B73ACC">
              <w:rPr>
                <w:rFonts w:ascii="Roboto" w:hAnsi="Roboto"/>
                <w:color w:val="000000"/>
                <w:sz w:val="20"/>
                <w:szCs w:val="20"/>
              </w:rPr>
              <w:t>Préciser lesquels.</w:t>
            </w:r>
          </w:p>
        </w:tc>
        <w:tc>
          <w:tcPr>
            <w:tcW w:w="4535" w:type="dxa"/>
            <w:tcBorders>
              <w:left w:val="threeDEngrave" w:sz="2" w:space="0" w:color="000000"/>
              <w:bottom w:val="threeDEngrave" w:sz="2" w:space="0" w:color="000000"/>
              <w:right w:val="threeDEngrave" w:sz="2" w:space="0" w:color="000000"/>
            </w:tcBorders>
            <w:shd w:val="clear" w:color="auto" w:fill="auto"/>
          </w:tcPr>
          <w:p w14:paraId="7C60704C" w14:textId="77777777" w:rsidR="0064388B" w:rsidRPr="00B73ACC" w:rsidRDefault="0064388B">
            <w:pPr>
              <w:pStyle w:val="Contenudetableau"/>
              <w:widowControl w:val="0"/>
              <w:rPr>
                <w:rFonts w:ascii="Roboto" w:hAnsi="Roboto"/>
                <w:color w:val="000000"/>
                <w:sz w:val="20"/>
                <w:szCs w:val="20"/>
              </w:rPr>
            </w:pPr>
          </w:p>
        </w:tc>
      </w:tr>
    </w:tbl>
    <w:p w14:paraId="78CF0A96" w14:textId="77777777" w:rsidR="0064388B" w:rsidRPr="00B73ACC" w:rsidRDefault="0064388B">
      <w:pPr>
        <w:jc w:val="both"/>
        <w:rPr>
          <w:rFonts w:ascii="Roboto" w:hAnsi="Roboto" w:cs="Helvetica"/>
          <w:b/>
          <w:color w:val="C9211E"/>
          <w:sz w:val="20"/>
          <w:szCs w:val="20"/>
        </w:rPr>
      </w:pPr>
    </w:p>
    <w:p w14:paraId="39D61B6C" w14:textId="77777777" w:rsidR="0064388B" w:rsidRPr="00B73ACC" w:rsidRDefault="00C3217C">
      <w:pPr>
        <w:jc w:val="center"/>
        <w:rPr>
          <w:rFonts w:ascii="Roboto" w:hAnsi="Roboto" w:cs="Helvetica"/>
          <w:color w:val="000000"/>
          <w:sz w:val="20"/>
          <w:szCs w:val="20"/>
        </w:rPr>
      </w:pPr>
      <w:r w:rsidRPr="00B73ACC">
        <w:rPr>
          <w:rFonts w:ascii="Roboto" w:hAnsi="Roboto" w:cs="Helvetica"/>
          <w:color w:val="000000"/>
          <w:sz w:val="20"/>
          <w:szCs w:val="20"/>
        </w:rPr>
        <w:t>MERCI pour votre participation au perfectionnement de l’achat public de Morbihan Energies.</w:t>
      </w:r>
    </w:p>
    <w:p w14:paraId="65E6CCAF" w14:textId="77777777" w:rsidR="0064388B" w:rsidRPr="00B73ACC" w:rsidRDefault="0064388B">
      <w:pPr>
        <w:tabs>
          <w:tab w:val="left" w:pos="1367"/>
        </w:tabs>
        <w:jc w:val="both"/>
        <w:rPr>
          <w:rFonts w:ascii="Roboto" w:hAnsi="Roboto" w:cs="Helvetica"/>
          <w:sz w:val="20"/>
          <w:szCs w:val="20"/>
        </w:rPr>
      </w:pPr>
    </w:p>
    <w:sectPr w:rsidR="0064388B" w:rsidRPr="00B73ACC">
      <w:pgSz w:w="11906" w:h="16838"/>
      <w:pgMar w:top="284" w:right="1417" w:bottom="0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88B"/>
    <w:rsid w:val="00017AC5"/>
    <w:rsid w:val="00457D38"/>
    <w:rsid w:val="0064388B"/>
    <w:rsid w:val="0084694F"/>
    <w:rsid w:val="008B064C"/>
    <w:rsid w:val="009A1C4D"/>
    <w:rsid w:val="00B530FB"/>
    <w:rsid w:val="00B73ACC"/>
    <w:rsid w:val="00BA61F4"/>
    <w:rsid w:val="00C3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A7B20"/>
  <w15:docId w15:val="{FC871CE3-5335-4BED-AC90-2E0027CD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"/>
        <w:szCs w:val="24"/>
        <w:lang w:val="fr-F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qFormat/>
    <w:rPr>
      <w:rFonts w:ascii="Calibri" w:hAnsi="Calibri" w:cs="Calibri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Calibri" w:hAnsi="Calibri" w:cs="Calibri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TextedebullesCar">
    <w:name w:val="Texte de bulles Car"/>
    <w:qFormat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qFormat/>
    <w:rsid w:val="004A5B00"/>
    <w:rPr>
      <w:sz w:val="16"/>
      <w:szCs w:val="16"/>
    </w:rPr>
  </w:style>
  <w:style w:type="character" w:customStyle="1" w:styleId="CommentaireCar">
    <w:name w:val="Commentaire Car"/>
    <w:basedOn w:val="Policepardfaut"/>
    <w:link w:val="Commentaire"/>
    <w:uiPriority w:val="99"/>
    <w:qFormat/>
    <w:rsid w:val="004A5B00"/>
    <w:rPr>
      <w:rFonts w:ascii="Times New Roman" w:eastAsia="Times New Roman" w:hAnsi="Times New Roman" w:cs="Times New Roman"/>
      <w:color w:val="00000A"/>
      <w:szCs w:val="20"/>
      <w:lang w:bidi="ar-SA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qFormat/>
    <w:rsid w:val="004A5B00"/>
    <w:rPr>
      <w:rFonts w:ascii="Times New Roman" w:eastAsia="Times New Roman" w:hAnsi="Times New Roman" w:cs="Times New Roman"/>
      <w:b/>
      <w:bCs/>
      <w:color w:val="00000A"/>
      <w:szCs w:val="20"/>
      <w:lang w:bidi="ar-SA"/>
    </w:rPr>
  </w:style>
  <w:style w:type="paragraph" w:styleId="Titre">
    <w:name w:val="Title"/>
    <w:basedOn w:val="Normal"/>
    <w:next w:val="Corpsdetexte"/>
    <w:uiPriority w:val="10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Corpsdetexte">
    <w:name w:val="Body Text"/>
    <w:basedOn w:val="Normal"/>
    <w:pPr>
      <w:spacing w:after="140" w:line="288" w:lineRule="auto"/>
    </w:pPr>
  </w:style>
  <w:style w:type="paragraph" w:styleId="Liste">
    <w:name w:val="List"/>
    <w:basedOn w:val="Corpsdetexte"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Paragraphedeliste">
    <w:name w:val="List Paragraph"/>
    <w:basedOn w:val="Normal"/>
    <w:qFormat/>
    <w:pPr>
      <w:ind w:left="708"/>
    </w:pPr>
  </w:style>
  <w:style w:type="paragraph" w:styleId="Textedebulles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ontenudetableau">
    <w:name w:val="Contenu de tableau"/>
    <w:basedOn w:val="Normal"/>
    <w:qFormat/>
  </w:style>
  <w:style w:type="paragraph" w:customStyle="1" w:styleId="Titredetableau">
    <w:name w:val="Titre de tableau"/>
    <w:basedOn w:val="Contenudetableau"/>
    <w:qFormat/>
  </w:style>
  <w:style w:type="paragraph" w:customStyle="1" w:styleId="ParagrapheIndent1">
    <w:name w:val="ParagrapheIndent1"/>
    <w:basedOn w:val="Normal"/>
    <w:next w:val="Normal"/>
    <w:qFormat/>
    <w:rPr>
      <w:rFonts w:ascii="Calibri" w:eastAsia="Calibri" w:hAnsi="Calibri" w:cs="Calibri"/>
      <w:sz w:val="20"/>
    </w:rPr>
  </w:style>
  <w:style w:type="paragraph" w:styleId="Commentaire">
    <w:name w:val="annotation text"/>
    <w:basedOn w:val="Normal"/>
    <w:link w:val="CommentaireCar"/>
    <w:uiPriority w:val="99"/>
    <w:unhideWhenUsed/>
    <w:qFormat/>
    <w:rsid w:val="004A5B00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qFormat/>
    <w:rsid w:val="004A5B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05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B0F92-466D-45B2-9778-CF689B1A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327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UJCP</cp:lastModifiedBy>
  <cp:revision>21</cp:revision>
  <cp:lastPrinted>2021-01-25T18:13:00Z</cp:lastPrinted>
  <dcterms:created xsi:type="dcterms:W3CDTF">2022-05-09T12:19:00Z</dcterms:created>
  <dcterms:modified xsi:type="dcterms:W3CDTF">2024-04-06T15:42:00Z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